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2E8E2" w14:textId="54822864" w:rsidR="0074696E" w:rsidRPr="004C6EEE" w:rsidRDefault="00026043" w:rsidP="00AD784C">
      <w:pPr>
        <w:pStyle w:val="Spacerparatopoffirstpage"/>
      </w:pPr>
      <w:r>
        <w:drawing>
          <wp:anchor distT="0" distB="0" distL="114300" distR="114300" simplePos="0" relativeHeight="251658240" behindDoc="1" locked="0" layoutInCell="1" allowOverlap="1" wp14:anchorId="0F5CE820" wp14:editId="62428B8C">
            <wp:simplePos x="0" y="0"/>
            <wp:positionH relativeFrom="page">
              <wp:posOffset>0</wp:posOffset>
            </wp:positionH>
            <wp:positionV relativeFrom="page">
              <wp:posOffset>0</wp:posOffset>
            </wp:positionV>
            <wp:extent cx="7560000" cy="1983600"/>
            <wp:effectExtent l="0" t="0" r="0" b="0"/>
            <wp:wrapNone/>
            <wp:docPr id="3" name="Picture 3" descr="Masterhead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06743_D_housing_info_sheet_1_MASTERHEAD.png"/>
                    <pic:cNvPicPr/>
                  </pic:nvPicPr>
                  <pic:blipFill>
                    <a:blip r:embed="rId11"/>
                    <a:stretch>
                      <a:fillRect/>
                    </a:stretch>
                  </pic:blipFill>
                  <pic:spPr>
                    <a:xfrm>
                      <a:off x="0" y="0"/>
                      <a:ext cx="7560000" cy="1983600"/>
                    </a:xfrm>
                    <a:prstGeom prst="rect">
                      <a:avLst/>
                    </a:prstGeom>
                  </pic:spPr>
                </pic:pic>
              </a:graphicData>
            </a:graphic>
            <wp14:sizeRelH relativeFrom="margin">
              <wp14:pctWidth>0</wp14:pctWidth>
            </wp14:sizeRelH>
            <wp14:sizeRelV relativeFrom="margin">
              <wp14:pctHeight>0</wp14:pctHeight>
            </wp14:sizeRelV>
          </wp:anchor>
        </w:drawing>
      </w:r>
    </w:p>
    <w:p w14:paraId="431CE591" w14:textId="77777777" w:rsidR="00A62D44" w:rsidRPr="004C6EEE" w:rsidRDefault="00A62D44" w:rsidP="004C6EEE">
      <w:pPr>
        <w:pStyle w:val="Sectionbreakfirstpage"/>
        <w:sectPr w:rsidR="00A62D44" w:rsidRPr="004C6EEE" w:rsidSect="0000682E">
          <w:headerReference w:type="even" r:id="rId12"/>
          <w:headerReference w:type="default" r:id="rId13"/>
          <w:footerReference w:type="even" r:id="rId14"/>
          <w:footerReference w:type="default" r:id="rId15"/>
          <w:headerReference w:type="first" r:id="rId16"/>
          <w:footerReference w:type="first" r:id="rId17"/>
          <w:pgSz w:w="11906" w:h="16838" w:code="9"/>
          <w:pgMar w:top="680" w:right="851" w:bottom="1814" w:left="851" w:header="510" w:footer="510" w:gutter="0"/>
          <w:cols w:space="708"/>
          <w:docGrid w:linePitch="360"/>
        </w:sectPr>
      </w:pPr>
    </w:p>
    <w:tbl>
      <w:tblPr>
        <w:tblW w:w="0" w:type="auto"/>
        <w:tblLook w:val="04A0" w:firstRow="1" w:lastRow="0" w:firstColumn="1" w:lastColumn="0" w:noHBand="0" w:noVBand="1"/>
      </w:tblPr>
      <w:tblGrid>
        <w:gridCol w:w="9464"/>
      </w:tblGrid>
      <w:tr w:rsidR="00AD784C" w14:paraId="04673BF0" w14:textId="77777777" w:rsidTr="00EE74E5">
        <w:trPr>
          <w:trHeight w:val="1247"/>
        </w:trPr>
        <w:tc>
          <w:tcPr>
            <w:tcW w:w="9464" w:type="dxa"/>
            <w:shd w:val="clear" w:color="auto" w:fill="auto"/>
            <w:vAlign w:val="bottom"/>
          </w:tcPr>
          <w:p w14:paraId="798BD494" w14:textId="42C09E4E" w:rsidR="0047258C" w:rsidRPr="0047258C" w:rsidRDefault="00E07436" w:rsidP="002B27D5">
            <w:pPr>
              <w:pStyle w:val="DHHSmainheading"/>
              <w:rPr>
                <w:b/>
                <w:caps w:val="0"/>
              </w:rPr>
            </w:pPr>
            <w:r>
              <w:rPr>
                <w:b/>
                <w:caps w:val="0"/>
              </w:rPr>
              <w:t xml:space="preserve">The Big Housing Build </w:t>
            </w:r>
            <w:r w:rsidR="0047258C">
              <w:rPr>
                <w:b/>
                <w:caps w:val="0"/>
              </w:rPr>
              <w:t>Guaranteed Minimum Investment</w:t>
            </w:r>
            <w:r w:rsidR="004A6D6A">
              <w:rPr>
                <w:b/>
                <w:caps w:val="0"/>
              </w:rPr>
              <w:t xml:space="preserve"> for regions</w:t>
            </w:r>
          </w:p>
        </w:tc>
      </w:tr>
      <w:tr w:rsidR="00AD784C" w14:paraId="655BE40C" w14:textId="77777777" w:rsidTr="004B6F52">
        <w:trPr>
          <w:trHeight w:hRule="exact" w:val="737"/>
        </w:trPr>
        <w:tc>
          <w:tcPr>
            <w:tcW w:w="9464" w:type="dxa"/>
            <w:shd w:val="clear" w:color="auto" w:fill="auto"/>
            <w:tcMar>
              <w:top w:w="85" w:type="dxa"/>
              <w:bottom w:w="510" w:type="dxa"/>
            </w:tcMar>
          </w:tcPr>
          <w:p w14:paraId="07731792" w14:textId="1B0D2853" w:rsidR="00357B4E" w:rsidRPr="002B27D5" w:rsidRDefault="00357B4E" w:rsidP="00EE74E5">
            <w:pPr>
              <w:pStyle w:val="DHHSmainsubheading"/>
              <w:rPr>
                <w:b w:val="0"/>
              </w:rPr>
            </w:pPr>
          </w:p>
        </w:tc>
      </w:tr>
    </w:tbl>
    <w:p w14:paraId="5E98D943" w14:textId="77777777" w:rsidR="007173CA" w:rsidRDefault="007173CA" w:rsidP="007173CA">
      <w:pPr>
        <w:pStyle w:val="DHHSbody"/>
        <w:sectPr w:rsidR="007173CA" w:rsidSect="00F01E5F">
          <w:headerReference w:type="default" r:id="rId18"/>
          <w:footerReference w:type="default" r:id="rId19"/>
          <w:type w:val="continuous"/>
          <w:pgSz w:w="11906" w:h="16838" w:code="9"/>
          <w:pgMar w:top="1418" w:right="851" w:bottom="1134" w:left="851" w:header="567" w:footer="510" w:gutter="0"/>
          <w:cols w:space="340"/>
          <w:titlePg/>
          <w:docGrid w:linePitch="360"/>
        </w:sectPr>
      </w:pPr>
    </w:p>
    <w:p w14:paraId="63909A94" w14:textId="63E65259" w:rsidR="003D6D96" w:rsidRPr="00801B9C" w:rsidRDefault="0055489E" w:rsidP="00801B9C">
      <w:pPr>
        <w:pStyle w:val="Heading1"/>
      </w:pPr>
      <w:r w:rsidRPr="00801B9C">
        <w:rPr>
          <w:noProof/>
        </w:rPr>
        <w:drawing>
          <wp:anchor distT="0" distB="0" distL="114300" distR="114300" simplePos="0" relativeHeight="251658241" behindDoc="1" locked="0" layoutInCell="1" allowOverlap="1" wp14:anchorId="23F5B5D4" wp14:editId="67995D61">
            <wp:simplePos x="0" y="0"/>
            <wp:positionH relativeFrom="margin">
              <wp:posOffset>3642995</wp:posOffset>
            </wp:positionH>
            <wp:positionV relativeFrom="paragraph">
              <wp:posOffset>124460</wp:posOffset>
            </wp:positionV>
            <wp:extent cx="2874645" cy="1816735"/>
            <wp:effectExtent l="0" t="0" r="1905" b="0"/>
            <wp:wrapTight wrapText="bothSides">
              <wp:wrapPolygon edited="0">
                <wp:start x="0" y="0"/>
                <wp:lineTo x="0" y="21290"/>
                <wp:lineTo x="21471" y="21290"/>
                <wp:lineTo x="2147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06743_H_icons_pink_black7.jpg"/>
                    <pic:cNvPicPr/>
                  </pic:nvPicPr>
                  <pic:blipFill>
                    <a:blip r:embed="rId20"/>
                    <a:stretch>
                      <a:fillRect/>
                    </a:stretch>
                  </pic:blipFill>
                  <pic:spPr>
                    <a:xfrm>
                      <a:off x="0" y="0"/>
                      <a:ext cx="2874645" cy="1816735"/>
                    </a:xfrm>
                    <a:prstGeom prst="rect">
                      <a:avLst/>
                    </a:prstGeom>
                  </pic:spPr>
                </pic:pic>
              </a:graphicData>
            </a:graphic>
            <wp14:sizeRelH relativeFrom="margin">
              <wp14:pctWidth>0</wp14:pctWidth>
            </wp14:sizeRelH>
            <wp14:sizeRelV relativeFrom="margin">
              <wp14:pctHeight>0</wp14:pctHeight>
            </wp14:sizeRelV>
          </wp:anchor>
        </w:drawing>
      </w:r>
      <w:r w:rsidR="003D6D96" w:rsidRPr="00801B9C">
        <w:t xml:space="preserve">What </w:t>
      </w:r>
      <w:r w:rsidR="0047258C" w:rsidRPr="00801B9C">
        <w:t>is the guaranteed minimum investment for regional Victoria</w:t>
      </w:r>
      <w:r w:rsidR="00F24CC9" w:rsidRPr="00801B9C">
        <w:t xml:space="preserve">?  </w:t>
      </w:r>
    </w:p>
    <w:p w14:paraId="2B02C853" w14:textId="77777777" w:rsidR="005C3B46" w:rsidRPr="00B63C83" w:rsidRDefault="005C3B46" w:rsidP="005C3B46">
      <w:pPr>
        <w:pStyle w:val="BodyA"/>
        <w:spacing w:after="200" w:line="252" w:lineRule="auto"/>
        <w:rPr>
          <w:rFonts w:eastAsia="Times" w:cs="Times New Roman"/>
          <w:color w:val="auto"/>
          <w:sz w:val="20"/>
          <w:szCs w:val="20"/>
          <w:lang w:eastAsia="en-US"/>
        </w:rPr>
      </w:pPr>
      <w:r w:rsidRPr="00B63C83">
        <w:rPr>
          <w:rFonts w:ascii="Arial" w:eastAsia="Times" w:hAnsi="Arial" w:cs="Times New Roman"/>
          <w:color w:val="auto"/>
          <w:sz w:val="20"/>
          <w:szCs w:val="20"/>
          <w:lang w:eastAsia="en-US"/>
        </w:rPr>
        <w:t xml:space="preserve">The Big Housing Build will invest 25 per cent of the total $5 billion program across regional Victoria. This will provide $1.25 billion across regional Victoria. </w:t>
      </w:r>
    </w:p>
    <w:p w14:paraId="24CBEF98" w14:textId="77777777" w:rsidR="005C3B46" w:rsidRPr="00B63C83" w:rsidRDefault="005C3B46" w:rsidP="005C3B46">
      <w:pPr>
        <w:pStyle w:val="BodyA"/>
        <w:spacing w:after="200" w:line="252" w:lineRule="auto"/>
        <w:rPr>
          <w:rFonts w:ascii="Arial" w:eastAsia="Times" w:hAnsi="Arial" w:cs="Times New Roman"/>
          <w:color w:val="auto"/>
          <w:sz w:val="20"/>
          <w:szCs w:val="20"/>
          <w:lang w:eastAsia="en-US"/>
        </w:rPr>
      </w:pPr>
      <w:r w:rsidRPr="00B63C83">
        <w:rPr>
          <w:rFonts w:ascii="Arial" w:eastAsia="Times" w:hAnsi="Arial" w:cs="Times New Roman"/>
          <w:color w:val="auto"/>
          <w:sz w:val="20"/>
          <w:szCs w:val="20"/>
          <w:lang w:eastAsia="en-US"/>
        </w:rPr>
        <w:t xml:space="preserve">Building social and affordable housing in regional Victoria responds to the increasing population in Victoria’s growth areas and creates more rental housing to support employment growth in regional towns and cities. </w:t>
      </w:r>
    </w:p>
    <w:p w14:paraId="3EB37316" w14:textId="77777777" w:rsidR="005C3B46" w:rsidRPr="00B63C83" w:rsidRDefault="005C3B46" w:rsidP="005C3B46">
      <w:pPr>
        <w:pStyle w:val="BodyA"/>
        <w:spacing w:after="200" w:line="252" w:lineRule="auto"/>
        <w:rPr>
          <w:rFonts w:ascii="Arial" w:eastAsia="Times" w:hAnsi="Arial" w:cs="Times New Roman"/>
          <w:color w:val="auto"/>
          <w:sz w:val="20"/>
          <w:szCs w:val="20"/>
          <w:lang w:eastAsia="en-US"/>
        </w:rPr>
      </w:pPr>
      <w:r w:rsidRPr="00B63C83">
        <w:rPr>
          <w:rFonts w:ascii="Arial" w:eastAsia="Times" w:hAnsi="Arial" w:cs="Times New Roman"/>
          <w:color w:val="auto"/>
          <w:sz w:val="20"/>
          <w:szCs w:val="20"/>
          <w:lang w:eastAsia="en-US"/>
        </w:rPr>
        <w:t>The Big Housing Build provides a Minimum Investment Commitment to regional local government areas that have a significant regional town or city or have high population growth. 18 local government areas have been identified for the Minimum Investment Guarantee, with $765 million committed across these local government areas.</w:t>
      </w:r>
    </w:p>
    <w:p w14:paraId="0552D6CE" w14:textId="77777777" w:rsidR="005C3B46" w:rsidRPr="00B63C83" w:rsidRDefault="005C3B46" w:rsidP="005C3B46">
      <w:pPr>
        <w:pStyle w:val="BodyA"/>
        <w:spacing w:after="200" w:line="252" w:lineRule="auto"/>
        <w:rPr>
          <w:rFonts w:ascii="Arial" w:eastAsia="Times" w:hAnsi="Arial" w:cs="Times New Roman"/>
          <w:color w:val="auto"/>
          <w:sz w:val="20"/>
          <w:szCs w:val="20"/>
          <w:lang w:eastAsia="en-US"/>
        </w:rPr>
      </w:pPr>
      <w:r w:rsidRPr="00B63C83">
        <w:rPr>
          <w:rFonts w:ascii="Arial" w:eastAsia="Times" w:hAnsi="Arial" w:cs="Times New Roman"/>
          <w:color w:val="auto"/>
          <w:sz w:val="20"/>
          <w:szCs w:val="20"/>
          <w:lang w:eastAsia="en-US"/>
        </w:rPr>
        <w:t xml:space="preserve">Homes Victoria will work to identify projects in regional Victoria for the allocation of the $485 million not yet committed to local government areas through the Minimum Investment Guarantee. </w:t>
      </w:r>
    </w:p>
    <w:p w14:paraId="56075F12" w14:textId="77777777" w:rsidR="005C3B46" w:rsidRPr="00B63C83" w:rsidRDefault="005C3B46" w:rsidP="005C3B46">
      <w:pPr>
        <w:pStyle w:val="BodyA"/>
        <w:spacing w:after="200" w:line="252" w:lineRule="auto"/>
        <w:rPr>
          <w:rFonts w:ascii="Arial" w:eastAsia="Times" w:hAnsi="Arial" w:cs="Times New Roman"/>
          <w:color w:val="auto"/>
          <w:sz w:val="20"/>
          <w:szCs w:val="20"/>
          <w:lang w:eastAsia="en-US"/>
        </w:rPr>
      </w:pPr>
      <w:r w:rsidRPr="00B63C83">
        <w:rPr>
          <w:rFonts w:ascii="Arial" w:eastAsia="Times" w:hAnsi="Arial" w:cs="Times New Roman"/>
          <w:color w:val="auto"/>
          <w:sz w:val="20"/>
          <w:szCs w:val="20"/>
          <w:lang w:eastAsia="en-US"/>
        </w:rPr>
        <w:t>Local governments that identify opportunities, such as on underutilised council land, are encouraged to work with community housing providers to develop partnership proposals. Community housing providers are key delivery partners in this package and can work with local governments to develop projects and seek funding for these through Big Housing Build funding streams.</w:t>
      </w:r>
    </w:p>
    <w:p w14:paraId="2B04DBE1" w14:textId="77777777" w:rsidR="005C3B46" w:rsidRDefault="005C3B46">
      <w:pPr>
        <w:rPr>
          <w:rFonts w:ascii="Arial" w:eastAsia="MS Gothic" w:hAnsi="Arial" w:cs="Arial"/>
          <w:bCs/>
          <w:color w:val="C2174F" w:themeColor="text2"/>
          <w:kern w:val="32"/>
          <w:sz w:val="36"/>
          <w:szCs w:val="40"/>
        </w:rPr>
      </w:pPr>
      <w:r>
        <w:br w:type="page"/>
      </w:r>
    </w:p>
    <w:p w14:paraId="16C9EBDD" w14:textId="6F0EEF72" w:rsidR="00235FB2" w:rsidRPr="00235FB2" w:rsidRDefault="0047258C" w:rsidP="00235FB2">
      <w:pPr>
        <w:pStyle w:val="Heading1"/>
        <w:sectPr w:rsidR="00235FB2" w:rsidRPr="00235FB2" w:rsidSect="004013C7">
          <w:type w:val="continuous"/>
          <w:pgSz w:w="11906" w:h="16838" w:code="9"/>
          <w:pgMar w:top="1418" w:right="851" w:bottom="1134" w:left="851" w:header="567" w:footer="510" w:gutter="0"/>
          <w:cols w:space="340"/>
          <w:docGrid w:linePitch="360"/>
        </w:sectPr>
      </w:pPr>
      <w:r w:rsidRPr="00801B9C">
        <w:lastRenderedPageBreak/>
        <w:t xml:space="preserve">How </w:t>
      </w:r>
      <w:r w:rsidR="00E07436">
        <w:t>will</w:t>
      </w:r>
      <w:r w:rsidRPr="00801B9C">
        <w:t xml:space="preserve"> the investment </w:t>
      </w:r>
      <w:r w:rsidR="00E07436">
        <w:t xml:space="preserve">be </w:t>
      </w:r>
      <w:r w:rsidRPr="00801B9C">
        <w:t>shared across regional Victoria?</w:t>
      </w:r>
    </w:p>
    <w:p w14:paraId="101D9658" w14:textId="1831615F" w:rsidR="00235FB2" w:rsidRDefault="00235FB2" w:rsidP="00235FB2">
      <w:pPr>
        <w:pStyle w:val="DHHSbody"/>
      </w:pPr>
    </w:p>
    <w:tbl>
      <w:tblPr>
        <w:tblStyle w:val="TableGrid"/>
        <w:tblW w:w="0" w:type="auto"/>
        <w:tblLook w:val="04A0" w:firstRow="1" w:lastRow="0" w:firstColumn="1" w:lastColumn="0" w:noHBand="0" w:noVBand="1"/>
      </w:tblPr>
      <w:tblGrid>
        <w:gridCol w:w="2399"/>
        <w:gridCol w:w="2415"/>
      </w:tblGrid>
      <w:tr w:rsidR="00A57D04" w:rsidRPr="0047258C" w14:paraId="03F42011" w14:textId="77777777" w:rsidTr="008A4232">
        <w:trPr>
          <w:cnfStyle w:val="100000000000" w:firstRow="1" w:lastRow="0" w:firstColumn="0" w:lastColumn="0" w:oddVBand="0" w:evenVBand="0" w:oddHBand="0" w:evenHBand="0" w:firstRowFirstColumn="0" w:firstRowLastColumn="0" w:lastRowFirstColumn="0" w:lastRowLastColumn="0"/>
        </w:trPr>
        <w:tc>
          <w:tcPr>
            <w:tcW w:w="2399" w:type="dxa"/>
          </w:tcPr>
          <w:p w14:paraId="44B564A5" w14:textId="77777777" w:rsidR="00A57D04" w:rsidRPr="0047258C" w:rsidRDefault="00A57D04" w:rsidP="008A4232">
            <w:pPr>
              <w:pStyle w:val="DHHSbody"/>
              <w:rPr>
                <w:b/>
                <w:bCs/>
              </w:rPr>
            </w:pPr>
            <w:r w:rsidRPr="0047258C">
              <w:rPr>
                <w:b/>
                <w:bCs/>
                <w:color w:val="FFFFFF" w:themeColor="background1"/>
              </w:rPr>
              <w:t xml:space="preserve">Local Government </w:t>
            </w:r>
            <w:r>
              <w:rPr>
                <w:b/>
                <w:bCs/>
                <w:color w:val="FFFFFF" w:themeColor="background1"/>
              </w:rPr>
              <w:t>A</w:t>
            </w:r>
            <w:r w:rsidRPr="0047258C">
              <w:rPr>
                <w:b/>
                <w:bCs/>
                <w:color w:val="FFFFFF" w:themeColor="background1"/>
              </w:rPr>
              <w:t>rea</w:t>
            </w:r>
          </w:p>
        </w:tc>
        <w:tc>
          <w:tcPr>
            <w:tcW w:w="2415" w:type="dxa"/>
          </w:tcPr>
          <w:p w14:paraId="7DE2E18F" w14:textId="77777777" w:rsidR="00A57D04" w:rsidRPr="0047258C" w:rsidRDefault="00A57D04" w:rsidP="008A4232">
            <w:pPr>
              <w:pStyle w:val="DHHSbody"/>
              <w:rPr>
                <w:b/>
                <w:bCs/>
                <w:color w:val="FFFFFF" w:themeColor="background1"/>
              </w:rPr>
            </w:pPr>
            <w:r>
              <w:rPr>
                <w:b/>
                <w:bCs/>
                <w:color w:val="FFFFFF" w:themeColor="background1"/>
              </w:rPr>
              <w:t>Guaranteed minimum investment</w:t>
            </w:r>
          </w:p>
        </w:tc>
      </w:tr>
      <w:tr w:rsidR="00A57D04" w14:paraId="16F5973F" w14:textId="77777777" w:rsidTr="008A4232">
        <w:tc>
          <w:tcPr>
            <w:tcW w:w="2399" w:type="dxa"/>
          </w:tcPr>
          <w:p w14:paraId="477EDC0E" w14:textId="77777777" w:rsidR="00A57D04" w:rsidRDefault="00A57D04" w:rsidP="008A4232">
            <w:pPr>
              <w:pStyle w:val="DHHSbody"/>
            </w:pPr>
            <w:r>
              <w:t>Ballarat</w:t>
            </w:r>
          </w:p>
        </w:tc>
        <w:tc>
          <w:tcPr>
            <w:tcW w:w="2415" w:type="dxa"/>
          </w:tcPr>
          <w:p w14:paraId="68CCE18C" w14:textId="0D950B6B" w:rsidR="00A57D04" w:rsidRDefault="00A57D04" w:rsidP="008A4232">
            <w:pPr>
              <w:pStyle w:val="DHHSbody"/>
            </w:pPr>
            <w:r>
              <w:t>$80,000,000</w:t>
            </w:r>
          </w:p>
        </w:tc>
      </w:tr>
      <w:tr w:rsidR="00A57D04" w14:paraId="11651B1B" w14:textId="77777777" w:rsidTr="008A4232">
        <w:tc>
          <w:tcPr>
            <w:tcW w:w="2399" w:type="dxa"/>
          </w:tcPr>
          <w:p w14:paraId="66B80821" w14:textId="77777777" w:rsidR="00A57D04" w:rsidRDefault="00A57D04" w:rsidP="008A4232">
            <w:pPr>
              <w:pStyle w:val="DHHSbody"/>
            </w:pPr>
            <w:r>
              <w:t>Bass Coast</w:t>
            </w:r>
          </w:p>
        </w:tc>
        <w:tc>
          <w:tcPr>
            <w:tcW w:w="2415" w:type="dxa"/>
          </w:tcPr>
          <w:p w14:paraId="3D1CB554" w14:textId="6BA97128" w:rsidR="00A57D04" w:rsidRDefault="00A57D04" w:rsidP="008A4232">
            <w:pPr>
              <w:pStyle w:val="DHHSbody"/>
            </w:pPr>
            <w:r>
              <w:t>$</w:t>
            </w:r>
            <w:r w:rsidR="006A1078">
              <w:t>2</w:t>
            </w:r>
            <w:r>
              <w:t>5,000,000</w:t>
            </w:r>
          </w:p>
        </w:tc>
      </w:tr>
      <w:tr w:rsidR="00A57D04" w14:paraId="5A2E3E28" w14:textId="77777777" w:rsidTr="008A4232">
        <w:tc>
          <w:tcPr>
            <w:tcW w:w="2399" w:type="dxa"/>
          </w:tcPr>
          <w:p w14:paraId="6ECD8823" w14:textId="77777777" w:rsidR="00A57D04" w:rsidRDefault="00A57D04" w:rsidP="008A4232">
            <w:pPr>
              <w:pStyle w:val="DHHSbody"/>
            </w:pPr>
            <w:r>
              <w:t>Baw Baw</w:t>
            </w:r>
          </w:p>
        </w:tc>
        <w:tc>
          <w:tcPr>
            <w:tcW w:w="2415" w:type="dxa"/>
          </w:tcPr>
          <w:p w14:paraId="5DECA2CB" w14:textId="4D633247" w:rsidR="00A57D04" w:rsidRDefault="00A57D04" w:rsidP="008A4232">
            <w:pPr>
              <w:pStyle w:val="DHHSbody"/>
            </w:pPr>
            <w:r>
              <w:t>$</w:t>
            </w:r>
            <w:r w:rsidR="006A1078">
              <w:t>35,000,000</w:t>
            </w:r>
          </w:p>
        </w:tc>
      </w:tr>
      <w:tr w:rsidR="00A57D04" w14:paraId="7402DC41" w14:textId="77777777" w:rsidTr="008A4232">
        <w:tc>
          <w:tcPr>
            <w:tcW w:w="2399" w:type="dxa"/>
          </w:tcPr>
          <w:p w14:paraId="3B135A66" w14:textId="77777777" w:rsidR="00A57D04" w:rsidRDefault="00A57D04" w:rsidP="008A4232">
            <w:pPr>
              <w:pStyle w:val="DHHSbody"/>
            </w:pPr>
            <w:r>
              <w:t xml:space="preserve">Horsham </w:t>
            </w:r>
          </w:p>
        </w:tc>
        <w:tc>
          <w:tcPr>
            <w:tcW w:w="2415" w:type="dxa"/>
          </w:tcPr>
          <w:p w14:paraId="707FDB09" w14:textId="6A040675" w:rsidR="00A57D04" w:rsidRDefault="00A57D04" w:rsidP="008A4232">
            <w:pPr>
              <w:pStyle w:val="DHHSbody"/>
            </w:pPr>
            <w:r>
              <w:t>$</w:t>
            </w:r>
            <w:r w:rsidR="006A1078">
              <w:t>15</w:t>
            </w:r>
            <w:r>
              <w:t>,000,000</w:t>
            </w:r>
          </w:p>
        </w:tc>
      </w:tr>
      <w:tr w:rsidR="00A57D04" w14:paraId="0E011CC9" w14:textId="77777777" w:rsidTr="008A4232">
        <w:tc>
          <w:tcPr>
            <w:tcW w:w="2399" w:type="dxa"/>
          </w:tcPr>
          <w:p w14:paraId="2CC8B0B6" w14:textId="77777777" w:rsidR="00A57D04" w:rsidRDefault="00A57D04" w:rsidP="008A4232">
            <w:pPr>
              <w:pStyle w:val="DHHSbody"/>
            </w:pPr>
            <w:r>
              <w:t>Golden Plains</w:t>
            </w:r>
          </w:p>
        </w:tc>
        <w:tc>
          <w:tcPr>
            <w:tcW w:w="2415" w:type="dxa"/>
          </w:tcPr>
          <w:p w14:paraId="2A2FFCC7" w14:textId="53CFCB91" w:rsidR="00A57D04" w:rsidRDefault="00A57D04" w:rsidP="008A4232">
            <w:pPr>
              <w:pStyle w:val="DHHSbody"/>
            </w:pPr>
            <w:r>
              <w:t>$</w:t>
            </w:r>
            <w:r w:rsidR="006A1078">
              <w:t>1</w:t>
            </w:r>
            <w:r>
              <w:t>5,000,000</w:t>
            </w:r>
          </w:p>
        </w:tc>
      </w:tr>
      <w:tr w:rsidR="00A57D04" w14:paraId="38458A41" w14:textId="77777777" w:rsidTr="008A4232">
        <w:tc>
          <w:tcPr>
            <w:tcW w:w="2399" w:type="dxa"/>
          </w:tcPr>
          <w:p w14:paraId="5BBA113A" w14:textId="77777777" w:rsidR="00A57D04" w:rsidRDefault="00A57D04" w:rsidP="008A4232">
            <w:pPr>
              <w:pStyle w:val="DHHSbody"/>
            </w:pPr>
            <w:r>
              <w:t xml:space="preserve">Greater Bendigo </w:t>
            </w:r>
          </w:p>
        </w:tc>
        <w:tc>
          <w:tcPr>
            <w:tcW w:w="2415" w:type="dxa"/>
          </w:tcPr>
          <w:p w14:paraId="0C33BF7B" w14:textId="1C1FD887" w:rsidR="00A57D04" w:rsidRDefault="00A57D04" w:rsidP="008A4232">
            <w:pPr>
              <w:pStyle w:val="DHHSbody"/>
            </w:pPr>
            <w:r>
              <w:t>$85,000,000</w:t>
            </w:r>
          </w:p>
        </w:tc>
      </w:tr>
      <w:tr w:rsidR="00A57D04" w14:paraId="4CA12B30" w14:textId="77777777" w:rsidTr="008A4232">
        <w:tc>
          <w:tcPr>
            <w:tcW w:w="2399" w:type="dxa"/>
          </w:tcPr>
          <w:p w14:paraId="5ED5BEC5" w14:textId="77777777" w:rsidR="00A57D04" w:rsidRDefault="00A57D04" w:rsidP="008A4232">
            <w:pPr>
              <w:pStyle w:val="DHHSbody"/>
            </w:pPr>
            <w:r>
              <w:t>Greater Geelong</w:t>
            </w:r>
          </w:p>
        </w:tc>
        <w:tc>
          <w:tcPr>
            <w:tcW w:w="2415" w:type="dxa"/>
          </w:tcPr>
          <w:p w14:paraId="49047FA1" w14:textId="7CB1E292" w:rsidR="00A57D04" w:rsidRDefault="00A57D04" w:rsidP="008A4232">
            <w:pPr>
              <w:pStyle w:val="DHHSbody"/>
            </w:pPr>
            <w:r>
              <w:t>$180,000,000</w:t>
            </w:r>
          </w:p>
        </w:tc>
      </w:tr>
      <w:tr w:rsidR="00A57D04" w14:paraId="329E63C1" w14:textId="77777777" w:rsidTr="008A4232">
        <w:tc>
          <w:tcPr>
            <w:tcW w:w="2399" w:type="dxa"/>
          </w:tcPr>
          <w:p w14:paraId="5E02B943" w14:textId="77777777" w:rsidR="00A57D04" w:rsidRDefault="00A57D04" w:rsidP="008A4232">
            <w:pPr>
              <w:pStyle w:val="DHHSbody"/>
            </w:pPr>
            <w:r>
              <w:t xml:space="preserve">Greater Shepparton </w:t>
            </w:r>
          </w:p>
        </w:tc>
        <w:tc>
          <w:tcPr>
            <w:tcW w:w="2415" w:type="dxa"/>
          </w:tcPr>
          <w:p w14:paraId="298A1D9A" w14:textId="51A00D56" w:rsidR="00A57D04" w:rsidRDefault="00A57D04" w:rsidP="008A4232">
            <w:pPr>
              <w:pStyle w:val="DHHSbody"/>
            </w:pPr>
            <w:r>
              <w:t>$45,000,000</w:t>
            </w:r>
          </w:p>
        </w:tc>
      </w:tr>
      <w:tr w:rsidR="00A57D04" w14:paraId="2E060207" w14:textId="77777777" w:rsidTr="008A4232">
        <w:tc>
          <w:tcPr>
            <w:tcW w:w="2399" w:type="dxa"/>
          </w:tcPr>
          <w:p w14:paraId="0165AF8B" w14:textId="77777777" w:rsidR="00A57D04" w:rsidRDefault="00A57D04" w:rsidP="008A4232">
            <w:pPr>
              <w:pStyle w:val="DHHSbody"/>
            </w:pPr>
            <w:r>
              <w:t>Latrobe</w:t>
            </w:r>
          </w:p>
        </w:tc>
        <w:tc>
          <w:tcPr>
            <w:tcW w:w="2415" w:type="dxa"/>
          </w:tcPr>
          <w:p w14:paraId="350C2576" w14:textId="2EEA04A1" w:rsidR="00A57D04" w:rsidRDefault="00A57D04" w:rsidP="008A4232">
            <w:pPr>
              <w:pStyle w:val="DHHSbody"/>
            </w:pPr>
            <w:r>
              <w:t>$60,000,000</w:t>
            </w:r>
          </w:p>
        </w:tc>
      </w:tr>
      <w:tr w:rsidR="00A57D04" w14:paraId="40DEC8D2" w14:textId="77777777" w:rsidTr="008A4232">
        <w:tc>
          <w:tcPr>
            <w:tcW w:w="2399" w:type="dxa"/>
          </w:tcPr>
          <w:p w14:paraId="37888393" w14:textId="77777777" w:rsidR="00A57D04" w:rsidRDefault="00A57D04" w:rsidP="008A4232">
            <w:pPr>
              <w:pStyle w:val="DHHSbody"/>
            </w:pPr>
            <w:r>
              <w:t xml:space="preserve">Macedon Ranges </w:t>
            </w:r>
          </w:p>
        </w:tc>
        <w:tc>
          <w:tcPr>
            <w:tcW w:w="2415" w:type="dxa"/>
          </w:tcPr>
          <w:p w14:paraId="0B2C6301" w14:textId="23A14FE1" w:rsidR="00A57D04" w:rsidRDefault="00A57D04" w:rsidP="008A4232">
            <w:pPr>
              <w:pStyle w:val="DHHSbody"/>
            </w:pPr>
            <w:r>
              <w:t>$</w:t>
            </w:r>
            <w:r w:rsidR="006A1078">
              <w:t>3</w:t>
            </w:r>
            <w:r>
              <w:t>0,000,000</w:t>
            </w:r>
          </w:p>
        </w:tc>
      </w:tr>
      <w:tr w:rsidR="00A57D04" w14:paraId="01FEC21C" w14:textId="77777777" w:rsidTr="008A4232">
        <w:tc>
          <w:tcPr>
            <w:tcW w:w="2399" w:type="dxa"/>
          </w:tcPr>
          <w:p w14:paraId="3DCB079E" w14:textId="77777777" w:rsidR="00A57D04" w:rsidRDefault="00A57D04" w:rsidP="008A4232">
            <w:pPr>
              <w:pStyle w:val="DHHSbody"/>
            </w:pPr>
            <w:r>
              <w:t>Mildura</w:t>
            </w:r>
          </w:p>
        </w:tc>
        <w:tc>
          <w:tcPr>
            <w:tcW w:w="2415" w:type="dxa"/>
          </w:tcPr>
          <w:p w14:paraId="30EFFE62" w14:textId="309A4471" w:rsidR="00A57D04" w:rsidRDefault="00A57D04" w:rsidP="008A4232">
            <w:pPr>
              <w:pStyle w:val="DHHSbody"/>
            </w:pPr>
            <w:r>
              <w:t>$40,000,000</w:t>
            </w:r>
          </w:p>
        </w:tc>
      </w:tr>
      <w:tr w:rsidR="00A57D04" w14:paraId="6D4AE3B7" w14:textId="77777777" w:rsidTr="008A4232">
        <w:tc>
          <w:tcPr>
            <w:tcW w:w="2399" w:type="dxa"/>
            <w:tcBorders>
              <w:bottom w:val="single" w:sz="12" w:space="0" w:color="E01F59" w:themeColor="accent6"/>
            </w:tcBorders>
          </w:tcPr>
          <w:p w14:paraId="25694ABF" w14:textId="77777777" w:rsidR="00A57D04" w:rsidRDefault="00A57D04" w:rsidP="008A4232">
            <w:pPr>
              <w:pStyle w:val="DHHSbody"/>
            </w:pPr>
            <w:r>
              <w:t>Mitchell</w:t>
            </w:r>
          </w:p>
        </w:tc>
        <w:tc>
          <w:tcPr>
            <w:tcW w:w="2415" w:type="dxa"/>
            <w:tcBorders>
              <w:bottom w:val="single" w:sz="12" w:space="0" w:color="E01F59" w:themeColor="accent6"/>
            </w:tcBorders>
          </w:tcPr>
          <w:p w14:paraId="5365390F" w14:textId="61E18D43" w:rsidR="00A57D04" w:rsidRDefault="00A57D04" w:rsidP="008A4232">
            <w:pPr>
              <w:pStyle w:val="DHHSbody"/>
            </w:pPr>
            <w:r>
              <w:t>$</w:t>
            </w:r>
            <w:r w:rsidR="006A1078">
              <w:t>2</w:t>
            </w:r>
            <w:r>
              <w:t>5,000,000</w:t>
            </w:r>
          </w:p>
        </w:tc>
      </w:tr>
    </w:tbl>
    <w:p w14:paraId="3971256C" w14:textId="77777777" w:rsidR="00A57D04" w:rsidRPr="00235FB2" w:rsidRDefault="00A57D04" w:rsidP="00235FB2">
      <w:pPr>
        <w:pStyle w:val="DHHSbody"/>
      </w:pPr>
    </w:p>
    <w:p w14:paraId="5FE2DA3A" w14:textId="3019676F" w:rsidR="00235FB2" w:rsidRPr="002B4FEF" w:rsidRDefault="00820110" w:rsidP="0047258C">
      <w:pPr>
        <w:pStyle w:val="DHHSbody"/>
      </w:pPr>
      <w:bookmarkStart w:id="0" w:name="_GoBack"/>
      <w:bookmarkEnd w:id="0"/>
      <w:r>
        <w:br w:type="column"/>
      </w:r>
    </w:p>
    <w:tbl>
      <w:tblPr>
        <w:tblStyle w:val="TableGrid"/>
        <w:tblW w:w="0" w:type="auto"/>
        <w:tblLook w:val="04A0" w:firstRow="1" w:lastRow="0" w:firstColumn="1" w:lastColumn="0" w:noHBand="0" w:noVBand="1"/>
      </w:tblPr>
      <w:tblGrid>
        <w:gridCol w:w="2399"/>
        <w:gridCol w:w="2415"/>
      </w:tblGrid>
      <w:tr w:rsidR="00820110" w14:paraId="5B5D202A" w14:textId="77777777" w:rsidTr="00820110">
        <w:trPr>
          <w:cnfStyle w:val="100000000000" w:firstRow="1" w:lastRow="0" w:firstColumn="0" w:lastColumn="0" w:oddVBand="0" w:evenVBand="0" w:oddHBand="0" w:evenHBand="0" w:firstRowFirstColumn="0" w:firstRowLastColumn="0" w:lastRowFirstColumn="0" w:lastRowLastColumn="0"/>
        </w:trPr>
        <w:tc>
          <w:tcPr>
            <w:tcW w:w="5043" w:type="dxa"/>
          </w:tcPr>
          <w:p w14:paraId="4091B02A" w14:textId="784E2642" w:rsidR="00820110" w:rsidRPr="0047258C" w:rsidRDefault="00820110" w:rsidP="003E79BA">
            <w:pPr>
              <w:pStyle w:val="DHHSbody"/>
              <w:rPr>
                <w:b/>
                <w:bCs/>
              </w:rPr>
            </w:pPr>
            <w:r w:rsidRPr="0047258C">
              <w:rPr>
                <w:b/>
                <w:bCs/>
                <w:color w:val="FFFFFF" w:themeColor="background1"/>
              </w:rPr>
              <w:t xml:space="preserve">Local Government </w:t>
            </w:r>
            <w:r>
              <w:rPr>
                <w:b/>
                <w:bCs/>
                <w:color w:val="FFFFFF" w:themeColor="background1"/>
              </w:rPr>
              <w:t>A</w:t>
            </w:r>
            <w:r w:rsidRPr="0047258C">
              <w:rPr>
                <w:b/>
                <w:bCs/>
                <w:color w:val="FFFFFF" w:themeColor="background1"/>
              </w:rPr>
              <w:t>rea</w:t>
            </w:r>
          </w:p>
        </w:tc>
        <w:tc>
          <w:tcPr>
            <w:tcW w:w="5043" w:type="dxa"/>
          </w:tcPr>
          <w:p w14:paraId="30201F4A" w14:textId="176579FB" w:rsidR="00820110" w:rsidRPr="0047258C" w:rsidRDefault="00820110" w:rsidP="003E79BA">
            <w:pPr>
              <w:pStyle w:val="DHHSbody"/>
              <w:rPr>
                <w:b/>
                <w:bCs/>
                <w:color w:val="FFFFFF" w:themeColor="background1"/>
              </w:rPr>
            </w:pPr>
            <w:r>
              <w:rPr>
                <w:b/>
                <w:bCs/>
                <w:color w:val="FFFFFF" w:themeColor="background1"/>
              </w:rPr>
              <w:t>Guaranteed minimum investment</w:t>
            </w:r>
          </w:p>
        </w:tc>
      </w:tr>
      <w:tr w:rsidR="00820110" w14:paraId="6015014A" w14:textId="77777777" w:rsidTr="00820110">
        <w:tc>
          <w:tcPr>
            <w:tcW w:w="5043" w:type="dxa"/>
          </w:tcPr>
          <w:p w14:paraId="1EA7D3A3" w14:textId="79799F3F" w:rsidR="00820110" w:rsidRDefault="00A57D04" w:rsidP="003E79BA">
            <w:pPr>
              <w:pStyle w:val="DHHSbody"/>
            </w:pPr>
            <w:r>
              <w:t>Moorabool</w:t>
            </w:r>
          </w:p>
        </w:tc>
        <w:tc>
          <w:tcPr>
            <w:tcW w:w="5043" w:type="dxa"/>
          </w:tcPr>
          <w:p w14:paraId="276EC8AB" w14:textId="4269E917" w:rsidR="00820110" w:rsidRDefault="006A1078" w:rsidP="003E79BA">
            <w:pPr>
              <w:pStyle w:val="DHHSbody"/>
            </w:pPr>
            <w:r>
              <w:t>$2</w:t>
            </w:r>
            <w:r w:rsidR="00820110">
              <w:t>0,000,000</w:t>
            </w:r>
          </w:p>
        </w:tc>
      </w:tr>
      <w:tr w:rsidR="00820110" w14:paraId="20E87D00" w14:textId="77777777" w:rsidTr="00820110">
        <w:tc>
          <w:tcPr>
            <w:tcW w:w="5043" w:type="dxa"/>
          </w:tcPr>
          <w:p w14:paraId="20DF646D" w14:textId="4FFABCEA" w:rsidR="00820110" w:rsidRDefault="00A57D04" w:rsidP="003E79BA">
            <w:pPr>
              <w:pStyle w:val="DHHSbody"/>
            </w:pPr>
            <w:r>
              <w:t>Surf Coast</w:t>
            </w:r>
          </w:p>
        </w:tc>
        <w:tc>
          <w:tcPr>
            <w:tcW w:w="5043" w:type="dxa"/>
          </w:tcPr>
          <w:p w14:paraId="351C7CB2" w14:textId="08218097" w:rsidR="00820110" w:rsidRDefault="00820110" w:rsidP="003E79BA">
            <w:pPr>
              <w:pStyle w:val="DHHSbody"/>
            </w:pPr>
            <w:r>
              <w:t>$2</w:t>
            </w:r>
            <w:r w:rsidR="006A1078">
              <w:t>0</w:t>
            </w:r>
            <w:r>
              <w:t>,000,000</w:t>
            </w:r>
          </w:p>
        </w:tc>
      </w:tr>
      <w:tr w:rsidR="00820110" w14:paraId="46F1F5ED" w14:textId="77777777" w:rsidTr="00820110">
        <w:tc>
          <w:tcPr>
            <w:tcW w:w="5043" w:type="dxa"/>
          </w:tcPr>
          <w:p w14:paraId="121035A8" w14:textId="77F32890" w:rsidR="00820110" w:rsidRDefault="00A57D04" w:rsidP="003E79BA">
            <w:pPr>
              <w:pStyle w:val="DHHSbody"/>
            </w:pPr>
            <w:r>
              <w:t>Swan Hill</w:t>
            </w:r>
          </w:p>
        </w:tc>
        <w:tc>
          <w:tcPr>
            <w:tcW w:w="5043" w:type="dxa"/>
          </w:tcPr>
          <w:p w14:paraId="12E71A8B" w14:textId="01C53924" w:rsidR="00820110" w:rsidRDefault="00820110" w:rsidP="003E79BA">
            <w:pPr>
              <w:pStyle w:val="DHHSbody"/>
            </w:pPr>
            <w:r>
              <w:t>$</w:t>
            </w:r>
            <w:r w:rsidR="006A1078">
              <w:t>15</w:t>
            </w:r>
            <w:r>
              <w:t>,000,000</w:t>
            </w:r>
          </w:p>
        </w:tc>
      </w:tr>
      <w:tr w:rsidR="00820110" w14:paraId="4653BA84" w14:textId="77777777" w:rsidTr="00820110">
        <w:tc>
          <w:tcPr>
            <w:tcW w:w="5043" w:type="dxa"/>
          </w:tcPr>
          <w:p w14:paraId="4B745E1D" w14:textId="1118ADDF" w:rsidR="00820110" w:rsidRDefault="00A57D04" w:rsidP="003E79BA">
            <w:pPr>
              <w:pStyle w:val="DHHSbody"/>
            </w:pPr>
            <w:r>
              <w:t>Wangaratta</w:t>
            </w:r>
          </w:p>
        </w:tc>
        <w:tc>
          <w:tcPr>
            <w:tcW w:w="5043" w:type="dxa"/>
          </w:tcPr>
          <w:p w14:paraId="4A4B5048" w14:textId="7BD25D6B" w:rsidR="00820110" w:rsidRDefault="00820110" w:rsidP="003E79BA">
            <w:pPr>
              <w:pStyle w:val="DHHSbody"/>
            </w:pPr>
            <w:r>
              <w:t>$20,000,000</w:t>
            </w:r>
          </w:p>
        </w:tc>
      </w:tr>
      <w:tr w:rsidR="00820110" w14:paraId="088B393A" w14:textId="77777777" w:rsidTr="00820110">
        <w:tc>
          <w:tcPr>
            <w:tcW w:w="5043" w:type="dxa"/>
          </w:tcPr>
          <w:p w14:paraId="1527240F" w14:textId="3579C1EB" w:rsidR="00820110" w:rsidRDefault="00A57D04" w:rsidP="003E79BA">
            <w:pPr>
              <w:pStyle w:val="DHHSbody"/>
            </w:pPr>
            <w:r>
              <w:t xml:space="preserve">Warrnambool </w:t>
            </w:r>
          </w:p>
        </w:tc>
        <w:tc>
          <w:tcPr>
            <w:tcW w:w="5043" w:type="dxa"/>
          </w:tcPr>
          <w:p w14:paraId="199F1F94" w14:textId="6AD5B950" w:rsidR="00820110" w:rsidRDefault="00820110" w:rsidP="003E79BA">
            <w:pPr>
              <w:pStyle w:val="DHHSbody"/>
            </w:pPr>
            <w:r>
              <w:t>$2</w:t>
            </w:r>
            <w:r w:rsidR="006A1078">
              <w:t>5</w:t>
            </w:r>
            <w:r>
              <w:t>,000,000</w:t>
            </w:r>
          </w:p>
        </w:tc>
      </w:tr>
      <w:tr w:rsidR="00820110" w14:paraId="17C71997" w14:textId="77777777" w:rsidTr="00820110">
        <w:tc>
          <w:tcPr>
            <w:tcW w:w="5043" w:type="dxa"/>
            <w:tcBorders>
              <w:bottom w:val="single" w:sz="12" w:space="0" w:color="E01F59" w:themeColor="accent6"/>
            </w:tcBorders>
          </w:tcPr>
          <w:p w14:paraId="601F0BFB" w14:textId="533D7C7E" w:rsidR="00820110" w:rsidRDefault="00A57D04" w:rsidP="003E79BA">
            <w:pPr>
              <w:pStyle w:val="DHHSbody"/>
            </w:pPr>
            <w:r>
              <w:t xml:space="preserve">Wodonga </w:t>
            </w:r>
          </w:p>
        </w:tc>
        <w:tc>
          <w:tcPr>
            <w:tcW w:w="5043" w:type="dxa"/>
            <w:tcBorders>
              <w:bottom w:val="single" w:sz="12" w:space="0" w:color="E01F59" w:themeColor="accent6"/>
            </w:tcBorders>
          </w:tcPr>
          <w:p w14:paraId="221B98F1" w14:textId="136D0F5F" w:rsidR="00820110" w:rsidRDefault="00820110" w:rsidP="003E79BA">
            <w:pPr>
              <w:pStyle w:val="DHHSbody"/>
            </w:pPr>
            <w:r>
              <w:t>$</w:t>
            </w:r>
            <w:r w:rsidR="006A1078">
              <w:t>30,000,000</w:t>
            </w:r>
          </w:p>
        </w:tc>
      </w:tr>
      <w:tr w:rsidR="00820110" w14:paraId="546BF522" w14:textId="77777777" w:rsidTr="00820110">
        <w:tc>
          <w:tcPr>
            <w:tcW w:w="5043" w:type="dxa"/>
            <w:tcBorders>
              <w:top w:val="single" w:sz="12" w:space="0" w:color="E01F59" w:themeColor="accent6"/>
            </w:tcBorders>
          </w:tcPr>
          <w:p w14:paraId="7E9A6F21" w14:textId="50EB402E" w:rsidR="00820110" w:rsidRPr="00763E14" w:rsidRDefault="00820110" w:rsidP="003E79BA">
            <w:pPr>
              <w:pStyle w:val="DHHSbody"/>
              <w:rPr>
                <w:b/>
                <w:bCs/>
              </w:rPr>
            </w:pPr>
            <w:r w:rsidRPr="00763E14">
              <w:rPr>
                <w:b/>
                <w:bCs/>
              </w:rPr>
              <w:t>Total</w:t>
            </w:r>
          </w:p>
        </w:tc>
        <w:tc>
          <w:tcPr>
            <w:tcW w:w="5043" w:type="dxa"/>
            <w:tcBorders>
              <w:top w:val="single" w:sz="12" w:space="0" w:color="E01F59" w:themeColor="accent6"/>
            </w:tcBorders>
          </w:tcPr>
          <w:p w14:paraId="05A635D6" w14:textId="2EBD719C" w:rsidR="00820110" w:rsidRPr="00763E14" w:rsidRDefault="00820110" w:rsidP="003E79BA">
            <w:pPr>
              <w:pStyle w:val="DHHSbody"/>
              <w:rPr>
                <w:b/>
                <w:bCs/>
              </w:rPr>
            </w:pPr>
            <w:r w:rsidRPr="00763E14">
              <w:rPr>
                <w:b/>
                <w:bCs/>
              </w:rPr>
              <w:t>$</w:t>
            </w:r>
            <w:r w:rsidR="00235FB2">
              <w:rPr>
                <w:b/>
                <w:bCs/>
              </w:rPr>
              <w:t>765</w:t>
            </w:r>
            <w:r w:rsidRPr="00763E14">
              <w:rPr>
                <w:b/>
                <w:bCs/>
              </w:rPr>
              <w:t>,000,000</w:t>
            </w:r>
          </w:p>
        </w:tc>
      </w:tr>
    </w:tbl>
    <w:p w14:paraId="77A3D2E2" w14:textId="77777777" w:rsidR="00820110" w:rsidRDefault="00820110" w:rsidP="0047258C">
      <w:pPr>
        <w:pStyle w:val="DHHSbody"/>
        <w:rPr>
          <w:b/>
          <w:bCs/>
        </w:rPr>
        <w:sectPr w:rsidR="00820110" w:rsidSect="00820110">
          <w:type w:val="continuous"/>
          <w:pgSz w:w="11906" w:h="16838" w:code="9"/>
          <w:pgMar w:top="1418" w:right="851" w:bottom="1134" w:left="851" w:header="567" w:footer="510" w:gutter="0"/>
          <w:cols w:num="2" w:space="340"/>
          <w:docGrid w:linePitch="360"/>
        </w:sectPr>
      </w:pPr>
    </w:p>
    <w:p w14:paraId="043D5926" w14:textId="770AE298" w:rsidR="00820110" w:rsidRPr="00820110" w:rsidRDefault="00820110" w:rsidP="0047258C">
      <w:pPr>
        <w:pStyle w:val="DHHSbody"/>
        <w:rPr>
          <w:b/>
          <w:bCs/>
        </w:rPr>
      </w:pPr>
    </w:p>
    <w:tbl>
      <w:tblPr>
        <w:tblW w:w="4895" w:type="pct"/>
        <w:tblInd w:w="113" w:type="dxa"/>
        <w:tblCellMar>
          <w:top w:w="113" w:type="dxa"/>
          <w:bottom w:w="57" w:type="dxa"/>
        </w:tblCellMar>
        <w:tblLook w:val="00A0" w:firstRow="1" w:lastRow="0" w:firstColumn="1" w:lastColumn="0" w:noHBand="0" w:noVBand="0"/>
      </w:tblPr>
      <w:tblGrid>
        <w:gridCol w:w="9980"/>
      </w:tblGrid>
      <w:tr w:rsidR="006254F8" w:rsidRPr="002802E3" w14:paraId="10C4A693" w14:textId="77777777" w:rsidTr="00C10037">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6216730A" w14:textId="713A5A76" w:rsidR="00820110" w:rsidRPr="00C31117" w:rsidRDefault="00820110" w:rsidP="00820110">
            <w:pPr>
              <w:pStyle w:val="DHHSaccessibilitypara"/>
            </w:pPr>
            <w:r>
              <w:t>T</w:t>
            </w:r>
            <w:r w:rsidRPr="00C31117">
              <w:t xml:space="preserve">o receive this publication in an accessible format phone </w:t>
            </w:r>
            <w:r w:rsidRPr="0043631C">
              <w:t>1300 650 172</w:t>
            </w:r>
            <w:r w:rsidRPr="00C31117">
              <w:t>, using the National Relay Service 13 36 77 if required, or email</w:t>
            </w:r>
            <w:r>
              <w:t xml:space="preserve"> </w:t>
            </w:r>
            <w:hyperlink r:id="rId21" w:history="1">
              <w:r>
                <w:rPr>
                  <w:rStyle w:val="Hyperlink"/>
                </w:rPr>
                <w:t>enquiries@homes.vic.gov.au</w:t>
              </w:r>
            </w:hyperlink>
            <w:r w:rsidRPr="00C31117">
              <w:t xml:space="preserve"> </w:t>
            </w:r>
            <w:r w:rsidR="00573A52">
              <w:t>&lt;</w:t>
            </w:r>
            <w:r w:rsidR="00573A52" w:rsidRPr="00573A52">
              <w:t>enquiries@homes.vic.gov.au&gt;</w:t>
            </w:r>
          </w:p>
          <w:p w14:paraId="124838AD" w14:textId="77777777" w:rsidR="00820110" w:rsidRPr="00C31117" w:rsidRDefault="00820110" w:rsidP="00820110">
            <w:pPr>
              <w:pStyle w:val="DHHSbody"/>
            </w:pPr>
            <w:r w:rsidRPr="00C31117">
              <w:t>Authorised and published by the Victorian Government, 1 Treasury Place, Melbourne.</w:t>
            </w:r>
          </w:p>
          <w:p w14:paraId="77B309DB" w14:textId="29C3CF8D" w:rsidR="00820110" w:rsidRPr="00C31117" w:rsidRDefault="00820110" w:rsidP="00820110">
            <w:pPr>
              <w:pStyle w:val="DHHSbody"/>
            </w:pPr>
            <w:r w:rsidRPr="00C31117">
              <w:t xml:space="preserve">© State of Victoria, Australia, </w:t>
            </w:r>
            <w:r w:rsidR="00573A52">
              <w:t>Homes Victoria</w:t>
            </w:r>
            <w:r w:rsidRPr="00C31117">
              <w:rPr>
                <w:color w:val="008950"/>
              </w:rPr>
              <w:t xml:space="preserve"> </w:t>
            </w:r>
            <w:r w:rsidRPr="00CD53EC">
              <w:t>November 2020.</w:t>
            </w:r>
          </w:p>
          <w:p w14:paraId="03312E2A" w14:textId="5980BDE8" w:rsidR="006254F8" w:rsidRPr="00820110" w:rsidRDefault="006254F8" w:rsidP="005C54B5">
            <w:pPr>
              <w:pStyle w:val="DHHSbody"/>
              <w:rPr>
                <w:color w:val="000000"/>
                <w:szCs w:val="19"/>
              </w:rPr>
            </w:pPr>
            <w:r w:rsidRPr="00C31117">
              <w:rPr>
                <w:szCs w:val="19"/>
              </w:rPr>
              <w:t xml:space="preserve">Available at </w:t>
            </w:r>
            <w:hyperlink r:id="rId22" w:history="1">
              <w:r w:rsidR="00573A52">
                <w:rPr>
                  <w:rStyle w:val="Hyperlink"/>
                </w:rPr>
                <w:t>https://www.vic.gov.au/regional-investment</w:t>
              </w:r>
            </w:hyperlink>
            <w:r w:rsidRPr="006254F8">
              <w:rPr>
                <w:color w:val="000000"/>
                <w:szCs w:val="19"/>
              </w:rPr>
              <w:t xml:space="preserve"> </w:t>
            </w:r>
            <w:r w:rsidRPr="006254F8">
              <w:rPr>
                <w:color w:val="000000"/>
              </w:rPr>
              <w:t>&lt;</w:t>
            </w:r>
            <w:r w:rsidR="00573A52" w:rsidRPr="00573A52">
              <w:t>https://www.vic.gov.au/regional-investment</w:t>
            </w:r>
            <w:r w:rsidRPr="006254F8">
              <w:rPr>
                <w:color w:val="000000"/>
              </w:rPr>
              <w:t>&gt;</w:t>
            </w:r>
          </w:p>
        </w:tc>
      </w:tr>
    </w:tbl>
    <w:p w14:paraId="63371A69" w14:textId="2F6A8DCF" w:rsidR="00B2752E" w:rsidRDefault="00B2752E" w:rsidP="00FF6D9D">
      <w:pPr>
        <w:pStyle w:val="DHHSbody"/>
      </w:pPr>
    </w:p>
    <w:p w14:paraId="25CF0E4D" w14:textId="13645A1F" w:rsidR="003535D5" w:rsidRDefault="003535D5" w:rsidP="00FF6D9D">
      <w:pPr>
        <w:pStyle w:val="DHHSbody"/>
      </w:pPr>
    </w:p>
    <w:p w14:paraId="0BE208F1" w14:textId="77777777" w:rsidR="003535D5" w:rsidRPr="00906490" w:rsidRDefault="003535D5" w:rsidP="00FF6D9D">
      <w:pPr>
        <w:pStyle w:val="DHHSbody"/>
      </w:pPr>
    </w:p>
    <w:sectPr w:rsidR="003535D5" w:rsidRPr="00906490" w:rsidSect="004013C7">
      <w:type w:val="continuous"/>
      <w:pgSz w:w="11906" w:h="16838" w:code="9"/>
      <w:pgMar w:top="1418" w:right="851" w:bottom="1134" w:left="851"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B20BD" w14:textId="77777777" w:rsidR="004959BE" w:rsidRDefault="004959BE">
      <w:r>
        <w:separator/>
      </w:r>
    </w:p>
  </w:endnote>
  <w:endnote w:type="continuationSeparator" w:id="0">
    <w:p w14:paraId="328C61CB" w14:textId="77777777" w:rsidR="004959BE" w:rsidRDefault="004959BE">
      <w:r>
        <w:continuationSeparator/>
      </w:r>
    </w:p>
  </w:endnote>
  <w:endnote w:type="continuationNotice" w:id="1">
    <w:p w14:paraId="16B83FA5" w14:textId="77777777" w:rsidR="004959BE" w:rsidRDefault="004959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B1191" w14:textId="77777777" w:rsidR="006E6266" w:rsidRDefault="006E62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FB737" w14:textId="5B71AF5D" w:rsidR="009D70A4" w:rsidRPr="00F65AA9" w:rsidRDefault="00D24700" w:rsidP="0051568D">
    <w:pPr>
      <w:pStyle w:val="DHHSfooter"/>
    </w:pPr>
    <w:r>
      <w:rPr>
        <w:noProof/>
      </w:rPr>
      <mc:AlternateContent>
        <mc:Choice Requires="wps">
          <w:drawing>
            <wp:anchor distT="0" distB="0" distL="114300" distR="114300" simplePos="0" relativeHeight="251658240" behindDoc="0" locked="0" layoutInCell="0" allowOverlap="1" wp14:anchorId="3361720E" wp14:editId="5D8EA900">
              <wp:simplePos x="0" y="0"/>
              <wp:positionH relativeFrom="page">
                <wp:posOffset>0</wp:posOffset>
              </wp:positionH>
              <wp:positionV relativeFrom="page">
                <wp:posOffset>10189210</wp:posOffset>
              </wp:positionV>
              <wp:extent cx="7560310" cy="311785"/>
              <wp:effectExtent l="0" t="0" r="0" b="12065"/>
              <wp:wrapNone/>
              <wp:docPr id="1" name="MSIPCM2a9a441b9c2dcc04f6f57616" descr="{&quot;HashCode&quot;:136874154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B2B33A" w14:textId="33FE45B1" w:rsidR="00D24700" w:rsidRPr="00D24700" w:rsidRDefault="00D24700" w:rsidP="00D24700">
                          <w:pPr>
                            <w:jc w:val="center"/>
                            <w:rPr>
                              <w:rFonts w:ascii="Arial Black" w:hAnsi="Arial Black"/>
                              <w:color w:val="E4100E"/>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361720E" id="_x0000_t202" coordsize="21600,21600" o:spt="202" path="m,l,21600r21600,l21600,xe">
              <v:stroke joinstyle="miter"/>
              <v:path gradientshapeok="t" o:connecttype="rect"/>
            </v:shapetype>
            <v:shape id="MSIPCM2a9a441b9c2dcc04f6f57616" o:spid="_x0000_s1026" type="#_x0000_t202" alt="{&quot;HashCode&quot;:1368741547,&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ADX6WsrgIAAEYFAAAOAAAA&#10;AAAAAAAAAAAAAC4CAABkcnMvZTJvRG9jLnhtbFBLAQItABQABgAIAAAAIQBIDV6a3wAAAAsBAAAP&#10;AAAAAAAAAAAAAAAAAAgFAABkcnMvZG93bnJldi54bWxQSwUGAAAAAAQABADzAAAAFAYAAAAA&#10;" o:allowincell="f" filled="f" stroked="f" strokeweight=".5pt">
              <v:textbox inset=",0,,0">
                <w:txbxContent>
                  <w:p w14:paraId="7CB2B33A" w14:textId="33FE45B1" w:rsidR="00D24700" w:rsidRPr="00D24700" w:rsidRDefault="00D24700" w:rsidP="00D24700">
                    <w:pPr>
                      <w:jc w:val="center"/>
                      <w:rPr>
                        <w:rFonts w:ascii="Arial Black" w:hAnsi="Arial Black"/>
                        <w:color w:val="E4100E"/>
                      </w:rPr>
                    </w:pPr>
                  </w:p>
                </w:txbxContent>
              </v:textbox>
              <w10:wrap anchorx="page" anchory="page"/>
            </v:shape>
          </w:pict>
        </mc:Fallback>
      </mc:AlternateContent>
    </w:r>
    <w:r w:rsidR="00A04105">
      <w:rPr>
        <w:noProof/>
      </w:rPr>
      <w:drawing>
        <wp:anchor distT="0" distB="0" distL="114300" distR="114300" simplePos="0" relativeHeight="251656192" behindDoc="1" locked="0" layoutInCell="1" allowOverlap="1" wp14:anchorId="7CC9961C" wp14:editId="00589B7F">
          <wp:simplePos x="0" y="0"/>
          <wp:positionH relativeFrom="page">
            <wp:posOffset>0</wp:posOffset>
          </wp:positionH>
          <wp:positionV relativeFrom="page">
            <wp:posOffset>9613265</wp:posOffset>
          </wp:positionV>
          <wp:extent cx="7560000" cy="10692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06743_D_housing_info_sheet_FOOTER.png"/>
                  <pic:cNvPicPr/>
                </pic:nvPicPr>
                <pic:blipFill>
                  <a:blip r:embed="rId1"/>
                  <a:stretch>
                    <a:fillRect/>
                  </a:stretch>
                </pic:blipFill>
                <pic:spPr>
                  <a:xfrm>
                    <a:off x="0" y="0"/>
                    <a:ext cx="7560000" cy="10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3BBC5" w14:textId="131BECDE" w:rsidR="00A04105" w:rsidRDefault="00D24700">
    <w:pPr>
      <w:pStyle w:val="Footer"/>
    </w:pPr>
    <w:r>
      <w:rPr>
        <w:noProof/>
      </w:rPr>
      <mc:AlternateContent>
        <mc:Choice Requires="wps">
          <w:drawing>
            <wp:anchor distT="0" distB="0" distL="114300" distR="114300" simplePos="1" relativeHeight="251660288" behindDoc="0" locked="0" layoutInCell="0" allowOverlap="1" wp14:anchorId="315AAE81" wp14:editId="6EE2B916">
              <wp:simplePos x="0" y="10189687"/>
              <wp:positionH relativeFrom="page">
                <wp:posOffset>0</wp:posOffset>
              </wp:positionH>
              <wp:positionV relativeFrom="page">
                <wp:posOffset>10189210</wp:posOffset>
              </wp:positionV>
              <wp:extent cx="7560310" cy="311785"/>
              <wp:effectExtent l="0" t="0" r="0" b="12065"/>
              <wp:wrapNone/>
              <wp:docPr id="2" name="MSIPCM214e429d8b4914159a2979c7" descr="{&quot;HashCode&quot;:1368741547,&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469433" w14:textId="3CC469CC" w:rsidR="00D24700" w:rsidRPr="00D24700" w:rsidRDefault="00D24700" w:rsidP="00D24700">
                          <w:pPr>
                            <w:jc w:val="center"/>
                            <w:rPr>
                              <w:rFonts w:ascii="Arial Black" w:hAnsi="Arial Black"/>
                              <w:color w:val="E4100E"/>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15AAE81" id="_x0000_t202" coordsize="21600,21600" o:spt="202" path="m,l,21600r21600,l21600,xe">
              <v:stroke joinstyle="miter"/>
              <v:path gradientshapeok="t" o:connecttype="rect"/>
            </v:shapetype>
            <v:shape id="MSIPCM214e429d8b4914159a2979c7" o:spid="_x0000_s1027" type="#_x0000_t202" alt="{&quot;HashCode&quot;:1368741547,&quot;Height&quot;:841.0,&quot;Width&quot;:595.0,&quot;Placement&quot;:&quot;Footer&quot;,&quot;Index&quot;:&quot;FirstPage&quot;,&quot;Section&quot;:1,&quot;Top&quot;:0.0,&quot;Left&quot;:0.0}" style="position:absolute;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" o:allowincell="f" filled="f" stroked="f" strokeweight=".5pt">
              <v:textbox inset=",0,,0">
                <w:txbxContent>
                  <w:p w14:paraId="42469433" w14:textId="3CC469CC" w:rsidR="00D24700" w:rsidRPr="00D24700" w:rsidRDefault="00D24700" w:rsidP="00D24700">
                    <w:pPr>
                      <w:jc w:val="center"/>
                      <w:rPr>
                        <w:rFonts w:ascii="Arial Black" w:hAnsi="Arial Black"/>
                        <w:color w:val="E4100E"/>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67790" w14:textId="43828861" w:rsidR="009D70A4" w:rsidRPr="00A11421" w:rsidRDefault="00D24700" w:rsidP="0051568D">
    <w:pPr>
      <w:pStyle w:val="DHHSfooter"/>
    </w:pPr>
    <w:r>
      <w:rPr>
        <w:noProof/>
      </w:rPr>
      <mc:AlternateContent>
        <mc:Choice Requires="wps">
          <w:drawing>
            <wp:anchor distT="0" distB="0" distL="114300" distR="114300" simplePos="0" relativeHeight="251661315" behindDoc="0" locked="0" layoutInCell="0" allowOverlap="1" wp14:anchorId="01B6C6E3" wp14:editId="365998D9">
              <wp:simplePos x="0" y="0"/>
              <wp:positionH relativeFrom="page">
                <wp:posOffset>0</wp:posOffset>
              </wp:positionH>
              <wp:positionV relativeFrom="page">
                <wp:posOffset>10189210</wp:posOffset>
              </wp:positionV>
              <wp:extent cx="7560310" cy="311785"/>
              <wp:effectExtent l="0" t="0" r="0" b="12065"/>
              <wp:wrapNone/>
              <wp:docPr id="6" name="MSIPCM02494d65992ef7a69c764bc5" descr="{&quot;HashCode&quot;:1368741547,&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CC99B3" w14:textId="561B906C" w:rsidR="00D24700" w:rsidRPr="00D24700" w:rsidRDefault="00D24700" w:rsidP="00D24700">
                          <w:pPr>
                            <w:jc w:val="center"/>
                            <w:rPr>
                              <w:rFonts w:ascii="Arial Black" w:hAnsi="Arial Black"/>
                              <w:color w:val="E4100E"/>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1B6C6E3" id="_x0000_t202" coordsize="21600,21600" o:spt="202" path="m,l,21600r21600,l21600,xe">
              <v:stroke joinstyle="miter"/>
              <v:path gradientshapeok="t" o:connecttype="rect"/>
            </v:shapetype>
            <v:shape id="MSIPCM02494d65992ef7a69c764bc5" o:spid="_x0000_s1028" type="#_x0000_t202" alt="{&quot;HashCode&quot;:1368741547,&quot;Height&quot;:841.0,&quot;Width&quot;:595.0,&quot;Placement&quot;:&quot;Footer&quot;,&quot;Index&quot;:&quot;Primary&quot;,&quot;Section&quot;:2,&quot;Top&quot;:0.0,&quot;Left&quot;:0.0}" style="position:absolute;margin-left:0;margin-top:802.3pt;width:595.3pt;height:24.55pt;z-index:25166131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FGe29iwAgAATQUAAA4A&#10;AAAAAAAAAAAAAAAALgIAAGRycy9lMm9Eb2MueG1sUEsBAi0AFAAGAAgAAAAhAEgNXprfAAAACwEA&#10;AA8AAAAAAAAAAAAAAAAACgUAAGRycy9kb3ducmV2LnhtbFBLBQYAAAAABAAEAPMAAAAWBgAAAAA=&#10;" o:allowincell="f" filled="f" stroked="f" strokeweight=".5pt">
              <v:textbox inset=",0,,0">
                <w:txbxContent>
                  <w:p w14:paraId="6ACC99B3" w14:textId="561B906C" w:rsidR="00D24700" w:rsidRPr="00D24700" w:rsidRDefault="00D24700" w:rsidP="00D24700">
                    <w:pPr>
                      <w:jc w:val="center"/>
                      <w:rPr>
                        <w:rFonts w:ascii="Arial Black" w:hAnsi="Arial Black"/>
                        <w:color w:val="E4100E"/>
                      </w:rPr>
                    </w:pPr>
                  </w:p>
                </w:txbxContent>
              </v:textbox>
              <w10:wrap anchorx="page" anchory="page"/>
            </v:shape>
          </w:pict>
        </mc:Fallback>
      </mc:AlternateContent>
    </w:r>
    <w:r w:rsidR="00820110">
      <w:t>Guaranteed Minimum Investment</w:t>
    </w:r>
    <w:r w:rsidR="009D70A4" w:rsidRPr="00A11421">
      <w:tab/>
    </w:r>
    <w:r w:rsidR="009D70A4" w:rsidRPr="00A11421">
      <w:fldChar w:fldCharType="begin"/>
    </w:r>
    <w:r w:rsidR="009D70A4" w:rsidRPr="00A11421">
      <w:instrText xml:space="preserve"> PAGE </w:instrText>
    </w:r>
    <w:r w:rsidR="009D70A4" w:rsidRPr="00A11421">
      <w:fldChar w:fldCharType="separate"/>
    </w:r>
    <w:r w:rsidR="00B95F4C">
      <w:rPr>
        <w:noProof/>
      </w:rPr>
      <w:t>2</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A5714" w14:textId="77777777" w:rsidR="004959BE" w:rsidRDefault="004959BE" w:rsidP="002862F1">
      <w:pPr>
        <w:spacing w:before="120"/>
      </w:pPr>
      <w:r>
        <w:separator/>
      </w:r>
    </w:p>
  </w:footnote>
  <w:footnote w:type="continuationSeparator" w:id="0">
    <w:p w14:paraId="06537CC6" w14:textId="77777777" w:rsidR="004959BE" w:rsidRDefault="004959BE">
      <w:r>
        <w:continuationSeparator/>
      </w:r>
    </w:p>
  </w:footnote>
  <w:footnote w:type="continuationNotice" w:id="1">
    <w:p w14:paraId="5FB67D58" w14:textId="77777777" w:rsidR="004959BE" w:rsidRDefault="004959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095E3" w14:textId="77777777" w:rsidR="006E6266" w:rsidRDefault="006E62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38A9F" w14:textId="77777777" w:rsidR="006E6266" w:rsidRDefault="006E62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75306" w14:textId="77777777" w:rsidR="006E6266" w:rsidRDefault="006E626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1224E" w14:textId="77777777"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3A50056"/>
    <w:multiLevelType w:val="multilevel"/>
    <w:tmpl w:val="4A1477D0"/>
    <w:numStyleLink w:val="ZZNumbersloweralpha"/>
  </w:abstractNum>
  <w:abstractNum w:abstractNumId="2" w15:restartNumberingAfterBreak="0">
    <w:nsid w:val="0B8D43DB"/>
    <w:multiLevelType w:val="multilevel"/>
    <w:tmpl w:val="1376D9DC"/>
    <w:numStyleLink w:val="ZZNumbersdigit"/>
  </w:abstractNum>
  <w:abstractNum w:abstractNumId="3"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37B96CDA"/>
    <w:multiLevelType w:val="multilevel"/>
    <w:tmpl w:val="ACFE2276"/>
    <w:lvl w:ilvl="0">
      <w:start w:val="1"/>
      <w:numFmt w:val="decimal"/>
      <w:pStyle w:val="DHH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4BA1E5A"/>
    <w:multiLevelType w:val="multilevel"/>
    <w:tmpl w:val="EC2C0F22"/>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4"/>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readOnly" w:enforcement="1" w:cryptProviderType="rsaAES" w:cryptAlgorithmClass="hash" w:cryptAlgorithmType="typeAny" w:cryptAlgorithmSid="14" w:cryptSpinCount="100000" w:hash="aa+Zugn8nZNYuYsO5lVBWNFYOKNUrASPfJLlNtNX9C7bT9yGM3StyJ0tfAmSDBJ4JTpyTPR7dwc5lHHGrDcHJw==" w:salt="rnMvfQftJ7Ly9I/h6L2UQw=="/>
  <w:defaultTabStop w:val="720"/>
  <w:drawingGridHorizontalSpacing w:val="181"/>
  <w:drawingGridVerticalSpacing w:val="181"/>
  <w:noPunctuationKerning/>
  <w:characterSpacingControl w:val="doNotCompress"/>
  <w:hdrShapeDefaults>
    <o:shapedefaults v:ext="edit" spidmax="153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590"/>
    <w:rsid w:val="0000682E"/>
    <w:rsid w:val="000072B6"/>
    <w:rsid w:val="0001021B"/>
    <w:rsid w:val="00011D89"/>
    <w:rsid w:val="000154FD"/>
    <w:rsid w:val="00024D89"/>
    <w:rsid w:val="000250B6"/>
    <w:rsid w:val="00026043"/>
    <w:rsid w:val="00033D81"/>
    <w:rsid w:val="00041A51"/>
    <w:rsid w:val="00041BF0"/>
    <w:rsid w:val="0004536B"/>
    <w:rsid w:val="00046B68"/>
    <w:rsid w:val="000527DD"/>
    <w:rsid w:val="000578B2"/>
    <w:rsid w:val="00060959"/>
    <w:rsid w:val="000663CD"/>
    <w:rsid w:val="000733FE"/>
    <w:rsid w:val="00074219"/>
    <w:rsid w:val="00074ED5"/>
    <w:rsid w:val="0008508E"/>
    <w:rsid w:val="0009113B"/>
    <w:rsid w:val="00093402"/>
    <w:rsid w:val="00094DA3"/>
    <w:rsid w:val="00096CD1"/>
    <w:rsid w:val="000A012C"/>
    <w:rsid w:val="000A0EB9"/>
    <w:rsid w:val="000A186C"/>
    <w:rsid w:val="000A1EA4"/>
    <w:rsid w:val="000B3EDB"/>
    <w:rsid w:val="000B543D"/>
    <w:rsid w:val="000B5BF7"/>
    <w:rsid w:val="000B6BC8"/>
    <w:rsid w:val="000C0303"/>
    <w:rsid w:val="000C42EA"/>
    <w:rsid w:val="000C4546"/>
    <w:rsid w:val="000C5643"/>
    <w:rsid w:val="000D1242"/>
    <w:rsid w:val="000E0970"/>
    <w:rsid w:val="000E3CC7"/>
    <w:rsid w:val="000E6BD4"/>
    <w:rsid w:val="000E778A"/>
    <w:rsid w:val="000F1F1E"/>
    <w:rsid w:val="000F2259"/>
    <w:rsid w:val="000F7246"/>
    <w:rsid w:val="0010392D"/>
    <w:rsid w:val="0010447F"/>
    <w:rsid w:val="00104FE3"/>
    <w:rsid w:val="00120BD3"/>
    <w:rsid w:val="00122FEA"/>
    <w:rsid w:val="001232BD"/>
    <w:rsid w:val="00124ED5"/>
    <w:rsid w:val="001276FA"/>
    <w:rsid w:val="001447B3"/>
    <w:rsid w:val="00152073"/>
    <w:rsid w:val="00156598"/>
    <w:rsid w:val="00161939"/>
    <w:rsid w:val="00161AA0"/>
    <w:rsid w:val="00162093"/>
    <w:rsid w:val="00172BAF"/>
    <w:rsid w:val="001771DD"/>
    <w:rsid w:val="00177995"/>
    <w:rsid w:val="00177A8C"/>
    <w:rsid w:val="00186B33"/>
    <w:rsid w:val="00192F9D"/>
    <w:rsid w:val="00196EB8"/>
    <w:rsid w:val="00196EFB"/>
    <w:rsid w:val="001979FF"/>
    <w:rsid w:val="00197B17"/>
    <w:rsid w:val="001A1C54"/>
    <w:rsid w:val="001A3ACE"/>
    <w:rsid w:val="001C277E"/>
    <w:rsid w:val="001C2A72"/>
    <w:rsid w:val="001D0B75"/>
    <w:rsid w:val="001D1931"/>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701F"/>
    <w:rsid w:val="002333F5"/>
    <w:rsid w:val="00233724"/>
    <w:rsid w:val="00235FB2"/>
    <w:rsid w:val="002432E1"/>
    <w:rsid w:val="00246207"/>
    <w:rsid w:val="00246C5E"/>
    <w:rsid w:val="00251343"/>
    <w:rsid w:val="002536A4"/>
    <w:rsid w:val="00254F58"/>
    <w:rsid w:val="002620BC"/>
    <w:rsid w:val="00262802"/>
    <w:rsid w:val="00263A90"/>
    <w:rsid w:val="0026408B"/>
    <w:rsid w:val="00267C3E"/>
    <w:rsid w:val="002709BB"/>
    <w:rsid w:val="00273BAC"/>
    <w:rsid w:val="002763B3"/>
    <w:rsid w:val="002802E3"/>
    <w:rsid w:val="0028213D"/>
    <w:rsid w:val="002862F1"/>
    <w:rsid w:val="00291373"/>
    <w:rsid w:val="00294AA9"/>
    <w:rsid w:val="0029597D"/>
    <w:rsid w:val="002962C3"/>
    <w:rsid w:val="0029752B"/>
    <w:rsid w:val="002A483C"/>
    <w:rsid w:val="002B0C7C"/>
    <w:rsid w:val="002B1729"/>
    <w:rsid w:val="002B27D5"/>
    <w:rsid w:val="002B31B2"/>
    <w:rsid w:val="002B36C7"/>
    <w:rsid w:val="002B4DD4"/>
    <w:rsid w:val="002B4FEF"/>
    <w:rsid w:val="002B5277"/>
    <w:rsid w:val="002B5375"/>
    <w:rsid w:val="002B77C1"/>
    <w:rsid w:val="002C2728"/>
    <w:rsid w:val="002C4079"/>
    <w:rsid w:val="002D5006"/>
    <w:rsid w:val="002E01D0"/>
    <w:rsid w:val="002E161D"/>
    <w:rsid w:val="002E3100"/>
    <w:rsid w:val="002E6C95"/>
    <w:rsid w:val="002E7C36"/>
    <w:rsid w:val="002F5F31"/>
    <w:rsid w:val="002F5F46"/>
    <w:rsid w:val="00302216"/>
    <w:rsid w:val="00303E53"/>
    <w:rsid w:val="0030493D"/>
    <w:rsid w:val="00306E5F"/>
    <w:rsid w:val="00307E14"/>
    <w:rsid w:val="00314054"/>
    <w:rsid w:val="00316E9A"/>
    <w:rsid w:val="00316F27"/>
    <w:rsid w:val="00317ECC"/>
    <w:rsid w:val="00322E4B"/>
    <w:rsid w:val="00327870"/>
    <w:rsid w:val="0033259D"/>
    <w:rsid w:val="003333D2"/>
    <w:rsid w:val="003406C6"/>
    <w:rsid w:val="00341706"/>
    <w:rsid w:val="003418CC"/>
    <w:rsid w:val="003459BD"/>
    <w:rsid w:val="00350D38"/>
    <w:rsid w:val="00351B36"/>
    <w:rsid w:val="003535D5"/>
    <w:rsid w:val="00357B4E"/>
    <w:rsid w:val="003716FD"/>
    <w:rsid w:val="0037204B"/>
    <w:rsid w:val="003744CF"/>
    <w:rsid w:val="00374717"/>
    <w:rsid w:val="0037676C"/>
    <w:rsid w:val="00381043"/>
    <w:rsid w:val="003829E5"/>
    <w:rsid w:val="003956CC"/>
    <w:rsid w:val="00395C9A"/>
    <w:rsid w:val="003A6B67"/>
    <w:rsid w:val="003B13B6"/>
    <w:rsid w:val="003B15E6"/>
    <w:rsid w:val="003C08A2"/>
    <w:rsid w:val="003C2045"/>
    <w:rsid w:val="003C43A1"/>
    <w:rsid w:val="003C4FC0"/>
    <w:rsid w:val="003C55F4"/>
    <w:rsid w:val="003C7897"/>
    <w:rsid w:val="003C7A3F"/>
    <w:rsid w:val="003D2766"/>
    <w:rsid w:val="003D3E8F"/>
    <w:rsid w:val="003D6475"/>
    <w:rsid w:val="003D6D96"/>
    <w:rsid w:val="003E375C"/>
    <w:rsid w:val="003E4086"/>
    <w:rsid w:val="003E79BA"/>
    <w:rsid w:val="003F0445"/>
    <w:rsid w:val="003F0CF0"/>
    <w:rsid w:val="003F14B1"/>
    <w:rsid w:val="003F3289"/>
    <w:rsid w:val="004013C7"/>
    <w:rsid w:val="00401FCF"/>
    <w:rsid w:val="00406285"/>
    <w:rsid w:val="004148F9"/>
    <w:rsid w:val="0042084E"/>
    <w:rsid w:val="00421EEF"/>
    <w:rsid w:val="00424D65"/>
    <w:rsid w:val="00442C6C"/>
    <w:rsid w:val="00443CBE"/>
    <w:rsid w:val="00443E8A"/>
    <w:rsid w:val="004441BC"/>
    <w:rsid w:val="004468B4"/>
    <w:rsid w:val="0045230A"/>
    <w:rsid w:val="00457337"/>
    <w:rsid w:val="0047258C"/>
    <w:rsid w:val="0047372D"/>
    <w:rsid w:val="00473BA3"/>
    <w:rsid w:val="004743DD"/>
    <w:rsid w:val="00474CEA"/>
    <w:rsid w:val="00483968"/>
    <w:rsid w:val="00484F86"/>
    <w:rsid w:val="00490746"/>
    <w:rsid w:val="00490852"/>
    <w:rsid w:val="00492F30"/>
    <w:rsid w:val="004946F4"/>
    <w:rsid w:val="0049487E"/>
    <w:rsid w:val="004959BE"/>
    <w:rsid w:val="004A160D"/>
    <w:rsid w:val="004A3E81"/>
    <w:rsid w:val="004A5C62"/>
    <w:rsid w:val="004A6D6A"/>
    <w:rsid w:val="004A707D"/>
    <w:rsid w:val="004B6F52"/>
    <w:rsid w:val="004C6EEE"/>
    <w:rsid w:val="004C702B"/>
    <w:rsid w:val="004D0033"/>
    <w:rsid w:val="004D016B"/>
    <w:rsid w:val="004D1B22"/>
    <w:rsid w:val="004D36F2"/>
    <w:rsid w:val="004E1106"/>
    <w:rsid w:val="004E138F"/>
    <w:rsid w:val="004E4649"/>
    <w:rsid w:val="004E5C2B"/>
    <w:rsid w:val="004F00DD"/>
    <w:rsid w:val="004F0529"/>
    <w:rsid w:val="004F2133"/>
    <w:rsid w:val="004F55F1"/>
    <w:rsid w:val="004F6936"/>
    <w:rsid w:val="00503DC6"/>
    <w:rsid w:val="00506F5D"/>
    <w:rsid w:val="005126D0"/>
    <w:rsid w:val="0051287F"/>
    <w:rsid w:val="0051568D"/>
    <w:rsid w:val="00526C15"/>
    <w:rsid w:val="00536499"/>
    <w:rsid w:val="00542311"/>
    <w:rsid w:val="00543903"/>
    <w:rsid w:val="00543F11"/>
    <w:rsid w:val="00547A95"/>
    <w:rsid w:val="0055489E"/>
    <w:rsid w:val="00572031"/>
    <w:rsid w:val="00572282"/>
    <w:rsid w:val="00573A52"/>
    <w:rsid w:val="00576E84"/>
    <w:rsid w:val="00582B8C"/>
    <w:rsid w:val="0058757E"/>
    <w:rsid w:val="00596A4B"/>
    <w:rsid w:val="00597507"/>
    <w:rsid w:val="005B1C6D"/>
    <w:rsid w:val="005B21B6"/>
    <w:rsid w:val="005B3A08"/>
    <w:rsid w:val="005B7A63"/>
    <w:rsid w:val="005C0955"/>
    <w:rsid w:val="005C3B46"/>
    <w:rsid w:val="005C49DA"/>
    <w:rsid w:val="005C50F3"/>
    <w:rsid w:val="005C54B5"/>
    <w:rsid w:val="005C5D80"/>
    <w:rsid w:val="005C5D91"/>
    <w:rsid w:val="005D07B8"/>
    <w:rsid w:val="005D6597"/>
    <w:rsid w:val="005E14E7"/>
    <w:rsid w:val="005E26A3"/>
    <w:rsid w:val="005E447E"/>
    <w:rsid w:val="005F0775"/>
    <w:rsid w:val="005F0CF5"/>
    <w:rsid w:val="005F21EB"/>
    <w:rsid w:val="00605908"/>
    <w:rsid w:val="00610D7C"/>
    <w:rsid w:val="00613414"/>
    <w:rsid w:val="00620154"/>
    <w:rsid w:val="0062408D"/>
    <w:rsid w:val="006240CC"/>
    <w:rsid w:val="006254F8"/>
    <w:rsid w:val="00627DA7"/>
    <w:rsid w:val="006358B4"/>
    <w:rsid w:val="006419AA"/>
    <w:rsid w:val="00644B1F"/>
    <w:rsid w:val="00644B7E"/>
    <w:rsid w:val="006454E6"/>
    <w:rsid w:val="00646235"/>
    <w:rsid w:val="00646A68"/>
    <w:rsid w:val="0065092E"/>
    <w:rsid w:val="006557A7"/>
    <w:rsid w:val="00656290"/>
    <w:rsid w:val="006621D7"/>
    <w:rsid w:val="0066302A"/>
    <w:rsid w:val="00670597"/>
    <w:rsid w:val="006706D0"/>
    <w:rsid w:val="00677574"/>
    <w:rsid w:val="0068454C"/>
    <w:rsid w:val="00691B62"/>
    <w:rsid w:val="006933B5"/>
    <w:rsid w:val="00693D14"/>
    <w:rsid w:val="006A1078"/>
    <w:rsid w:val="006A18C2"/>
    <w:rsid w:val="006B077C"/>
    <w:rsid w:val="006B3510"/>
    <w:rsid w:val="006B6803"/>
    <w:rsid w:val="006D0F16"/>
    <w:rsid w:val="006D2A3F"/>
    <w:rsid w:val="006D2FBC"/>
    <w:rsid w:val="006E138B"/>
    <w:rsid w:val="006E6266"/>
    <w:rsid w:val="006F1FDC"/>
    <w:rsid w:val="006F6B8C"/>
    <w:rsid w:val="007013EF"/>
    <w:rsid w:val="007173CA"/>
    <w:rsid w:val="007216AA"/>
    <w:rsid w:val="00721AB5"/>
    <w:rsid w:val="00721CFB"/>
    <w:rsid w:val="00721DEF"/>
    <w:rsid w:val="00724A43"/>
    <w:rsid w:val="007346E4"/>
    <w:rsid w:val="00740F22"/>
    <w:rsid w:val="00741F1A"/>
    <w:rsid w:val="00742E33"/>
    <w:rsid w:val="007450F8"/>
    <w:rsid w:val="0074696E"/>
    <w:rsid w:val="00750135"/>
    <w:rsid w:val="00750EC2"/>
    <w:rsid w:val="00752B28"/>
    <w:rsid w:val="00754E36"/>
    <w:rsid w:val="00763139"/>
    <w:rsid w:val="00763E14"/>
    <w:rsid w:val="00765FA8"/>
    <w:rsid w:val="00770CD2"/>
    <w:rsid w:val="00770F37"/>
    <w:rsid w:val="007711A0"/>
    <w:rsid w:val="00772D5E"/>
    <w:rsid w:val="00776928"/>
    <w:rsid w:val="00785677"/>
    <w:rsid w:val="00786F16"/>
    <w:rsid w:val="00791BD7"/>
    <w:rsid w:val="007933F7"/>
    <w:rsid w:val="00796E20"/>
    <w:rsid w:val="00797C32"/>
    <w:rsid w:val="007A11E8"/>
    <w:rsid w:val="007B0914"/>
    <w:rsid w:val="007B1374"/>
    <w:rsid w:val="007B589F"/>
    <w:rsid w:val="007B6186"/>
    <w:rsid w:val="007B73BC"/>
    <w:rsid w:val="007C20B9"/>
    <w:rsid w:val="007C7301"/>
    <w:rsid w:val="007C7859"/>
    <w:rsid w:val="007D2BDE"/>
    <w:rsid w:val="007D2FB6"/>
    <w:rsid w:val="007D49EB"/>
    <w:rsid w:val="007E0DE2"/>
    <w:rsid w:val="007E3B98"/>
    <w:rsid w:val="007E417A"/>
    <w:rsid w:val="007F2BDC"/>
    <w:rsid w:val="007F31B6"/>
    <w:rsid w:val="007F546C"/>
    <w:rsid w:val="007F625F"/>
    <w:rsid w:val="007F665E"/>
    <w:rsid w:val="00800412"/>
    <w:rsid w:val="00801B9C"/>
    <w:rsid w:val="0080587B"/>
    <w:rsid w:val="00806468"/>
    <w:rsid w:val="008155F0"/>
    <w:rsid w:val="00816735"/>
    <w:rsid w:val="00820110"/>
    <w:rsid w:val="00820141"/>
    <w:rsid w:val="00820E0C"/>
    <w:rsid w:val="0082366F"/>
    <w:rsid w:val="008338A2"/>
    <w:rsid w:val="00841AA9"/>
    <w:rsid w:val="00853EE4"/>
    <w:rsid w:val="00855535"/>
    <w:rsid w:val="00857C5A"/>
    <w:rsid w:val="0086255E"/>
    <w:rsid w:val="008633F0"/>
    <w:rsid w:val="00867D9D"/>
    <w:rsid w:val="00872E0A"/>
    <w:rsid w:val="00875285"/>
    <w:rsid w:val="00884B62"/>
    <w:rsid w:val="0088529C"/>
    <w:rsid w:val="00887903"/>
    <w:rsid w:val="0089270A"/>
    <w:rsid w:val="00893AF6"/>
    <w:rsid w:val="00894542"/>
    <w:rsid w:val="00894BC4"/>
    <w:rsid w:val="008A4232"/>
    <w:rsid w:val="008A5B32"/>
    <w:rsid w:val="008B2EE4"/>
    <w:rsid w:val="008B4D3D"/>
    <w:rsid w:val="008B57C7"/>
    <w:rsid w:val="008C2F92"/>
    <w:rsid w:val="008C38EF"/>
    <w:rsid w:val="008D2846"/>
    <w:rsid w:val="008D4236"/>
    <w:rsid w:val="008D462F"/>
    <w:rsid w:val="008D6DCF"/>
    <w:rsid w:val="008E4376"/>
    <w:rsid w:val="008E7A0A"/>
    <w:rsid w:val="008E7B49"/>
    <w:rsid w:val="008F59F6"/>
    <w:rsid w:val="00900719"/>
    <w:rsid w:val="009017AC"/>
    <w:rsid w:val="00904A1C"/>
    <w:rsid w:val="00905030"/>
    <w:rsid w:val="00906490"/>
    <w:rsid w:val="009111B2"/>
    <w:rsid w:val="00920A93"/>
    <w:rsid w:val="00924AE1"/>
    <w:rsid w:val="009269B1"/>
    <w:rsid w:val="0092724D"/>
    <w:rsid w:val="0093338F"/>
    <w:rsid w:val="00937BD9"/>
    <w:rsid w:val="00947730"/>
    <w:rsid w:val="00950E2C"/>
    <w:rsid w:val="00951D50"/>
    <w:rsid w:val="009525EB"/>
    <w:rsid w:val="00954874"/>
    <w:rsid w:val="00961400"/>
    <w:rsid w:val="00963646"/>
    <w:rsid w:val="0096632D"/>
    <w:rsid w:val="0097559F"/>
    <w:rsid w:val="009853E1"/>
    <w:rsid w:val="00986E6B"/>
    <w:rsid w:val="00991769"/>
    <w:rsid w:val="00994386"/>
    <w:rsid w:val="009A13D8"/>
    <w:rsid w:val="009A279E"/>
    <w:rsid w:val="009A4590"/>
    <w:rsid w:val="009B0A6F"/>
    <w:rsid w:val="009B0A94"/>
    <w:rsid w:val="009B59E9"/>
    <w:rsid w:val="009B70AA"/>
    <w:rsid w:val="009C5E77"/>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04105"/>
    <w:rsid w:val="00A045FF"/>
    <w:rsid w:val="00A0776B"/>
    <w:rsid w:val="00A11421"/>
    <w:rsid w:val="00A157B1"/>
    <w:rsid w:val="00A22229"/>
    <w:rsid w:val="00A330BB"/>
    <w:rsid w:val="00A44882"/>
    <w:rsid w:val="00A541AD"/>
    <w:rsid w:val="00A54715"/>
    <w:rsid w:val="00A57D04"/>
    <w:rsid w:val="00A6061C"/>
    <w:rsid w:val="00A62D44"/>
    <w:rsid w:val="00A66BCD"/>
    <w:rsid w:val="00A67263"/>
    <w:rsid w:val="00A7161C"/>
    <w:rsid w:val="00A77AA3"/>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6E0A"/>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57329"/>
    <w:rsid w:val="00B60E61"/>
    <w:rsid w:val="00B62B50"/>
    <w:rsid w:val="00B635B7"/>
    <w:rsid w:val="00B63AE8"/>
    <w:rsid w:val="00B65950"/>
    <w:rsid w:val="00B66804"/>
    <w:rsid w:val="00B66D83"/>
    <w:rsid w:val="00B672C0"/>
    <w:rsid w:val="00B75646"/>
    <w:rsid w:val="00B90729"/>
    <w:rsid w:val="00B907DA"/>
    <w:rsid w:val="00B933B0"/>
    <w:rsid w:val="00B950BC"/>
    <w:rsid w:val="00B95F4C"/>
    <w:rsid w:val="00B9714C"/>
    <w:rsid w:val="00BA29AD"/>
    <w:rsid w:val="00BA3F8D"/>
    <w:rsid w:val="00BB7A10"/>
    <w:rsid w:val="00BC7468"/>
    <w:rsid w:val="00BC7D4F"/>
    <w:rsid w:val="00BC7ED7"/>
    <w:rsid w:val="00BD2850"/>
    <w:rsid w:val="00BE28D2"/>
    <w:rsid w:val="00BE4A64"/>
    <w:rsid w:val="00BF557D"/>
    <w:rsid w:val="00BF7F58"/>
    <w:rsid w:val="00C01381"/>
    <w:rsid w:val="00C01AB1"/>
    <w:rsid w:val="00C079B8"/>
    <w:rsid w:val="00C10037"/>
    <w:rsid w:val="00C123EA"/>
    <w:rsid w:val="00C12A49"/>
    <w:rsid w:val="00C133EE"/>
    <w:rsid w:val="00C149D0"/>
    <w:rsid w:val="00C26588"/>
    <w:rsid w:val="00C27DE9"/>
    <w:rsid w:val="00C33388"/>
    <w:rsid w:val="00C35484"/>
    <w:rsid w:val="00C4173A"/>
    <w:rsid w:val="00C5183F"/>
    <w:rsid w:val="00C547E8"/>
    <w:rsid w:val="00C602FF"/>
    <w:rsid w:val="00C61174"/>
    <w:rsid w:val="00C6148F"/>
    <w:rsid w:val="00C62F7A"/>
    <w:rsid w:val="00C63B9C"/>
    <w:rsid w:val="00C64DBF"/>
    <w:rsid w:val="00C6682F"/>
    <w:rsid w:val="00C7275E"/>
    <w:rsid w:val="00C74C5D"/>
    <w:rsid w:val="00C75963"/>
    <w:rsid w:val="00C863C4"/>
    <w:rsid w:val="00C920EA"/>
    <w:rsid w:val="00C93C3E"/>
    <w:rsid w:val="00CA12E3"/>
    <w:rsid w:val="00CA6611"/>
    <w:rsid w:val="00CA6AE6"/>
    <w:rsid w:val="00CA782F"/>
    <w:rsid w:val="00CB3285"/>
    <w:rsid w:val="00CC0C72"/>
    <w:rsid w:val="00CC2BFD"/>
    <w:rsid w:val="00CC5B33"/>
    <w:rsid w:val="00CD3476"/>
    <w:rsid w:val="00CD64DF"/>
    <w:rsid w:val="00CF2F50"/>
    <w:rsid w:val="00CF6198"/>
    <w:rsid w:val="00D02919"/>
    <w:rsid w:val="00D04C61"/>
    <w:rsid w:val="00D05B8D"/>
    <w:rsid w:val="00D065A2"/>
    <w:rsid w:val="00D07E03"/>
    <w:rsid w:val="00D07F00"/>
    <w:rsid w:val="00D1415F"/>
    <w:rsid w:val="00D17B72"/>
    <w:rsid w:val="00D24700"/>
    <w:rsid w:val="00D3185C"/>
    <w:rsid w:val="00D3318E"/>
    <w:rsid w:val="00D33E72"/>
    <w:rsid w:val="00D35BD6"/>
    <w:rsid w:val="00D361B5"/>
    <w:rsid w:val="00D411A2"/>
    <w:rsid w:val="00D4606D"/>
    <w:rsid w:val="00D50B9C"/>
    <w:rsid w:val="00D52D73"/>
    <w:rsid w:val="00D52E58"/>
    <w:rsid w:val="00D56B20"/>
    <w:rsid w:val="00D66E69"/>
    <w:rsid w:val="00D714CC"/>
    <w:rsid w:val="00D75EA7"/>
    <w:rsid w:val="00D81F21"/>
    <w:rsid w:val="00D95470"/>
    <w:rsid w:val="00DA2619"/>
    <w:rsid w:val="00DA4239"/>
    <w:rsid w:val="00DB0B61"/>
    <w:rsid w:val="00DB52FB"/>
    <w:rsid w:val="00DC090B"/>
    <w:rsid w:val="00DC1679"/>
    <w:rsid w:val="00DC2CF1"/>
    <w:rsid w:val="00DC4FCF"/>
    <w:rsid w:val="00DC50E0"/>
    <w:rsid w:val="00DC6386"/>
    <w:rsid w:val="00DD1130"/>
    <w:rsid w:val="00DD1951"/>
    <w:rsid w:val="00DD6628"/>
    <w:rsid w:val="00DD6945"/>
    <w:rsid w:val="00DE3250"/>
    <w:rsid w:val="00DE6028"/>
    <w:rsid w:val="00DE78A3"/>
    <w:rsid w:val="00DF1A71"/>
    <w:rsid w:val="00DF68C7"/>
    <w:rsid w:val="00DF731A"/>
    <w:rsid w:val="00E07436"/>
    <w:rsid w:val="00E11332"/>
    <w:rsid w:val="00E11352"/>
    <w:rsid w:val="00E12ED7"/>
    <w:rsid w:val="00E170DC"/>
    <w:rsid w:val="00E26818"/>
    <w:rsid w:val="00E27FFC"/>
    <w:rsid w:val="00E30B15"/>
    <w:rsid w:val="00E32F51"/>
    <w:rsid w:val="00E40181"/>
    <w:rsid w:val="00E56A01"/>
    <w:rsid w:val="00E629A1"/>
    <w:rsid w:val="00E6794C"/>
    <w:rsid w:val="00E71591"/>
    <w:rsid w:val="00E80DE3"/>
    <w:rsid w:val="00E82C55"/>
    <w:rsid w:val="00E92AC3"/>
    <w:rsid w:val="00EB00E0"/>
    <w:rsid w:val="00EC059F"/>
    <w:rsid w:val="00EC101D"/>
    <w:rsid w:val="00EC1F24"/>
    <w:rsid w:val="00EC22F6"/>
    <w:rsid w:val="00ED5B9B"/>
    <w:rsid w:val="00ED6BAD"/>
    <w:rsid w:val="00ED7447"/>
    <w:rsid w:val="00EE1488"/>
    <w:rsid w:val="00EE3E24"/>
    <w:rsid w:val="00EE4D5D"/>
    <w:rsid w:val="00EE5131"/>
    <w:rsid w:val="00EE74E5"/>
    <w:rsid w:val="00EF109B"/>
    <w:rsid w:val="00EF36AF"/>
    <w:rsid w:val="00F00F9C"/>
    <w:rsid w:val="00F01C7D"/>
    <w:rsid w:val="00F01E5F"/>
    <w:rsid w:val="00F02ABA"/>
    <w:rsid w:val="00F0437A"/>
    <w:rsid w:val="00F07B46"/>
    <w:rsid w:val="00F11037"/>
    <w:rsid w:val="00F153C7"/>
    <w:rsid w:val="00F15804"/>
    <w:rsid w:val="00F16F1B"/>
    <w:rsid w:val="00F24CC9"/>
    <w:rsid w:val="00F250A9"/>
    <w:rsid w:val="00F30FF4"/>
    <w:rsid w:val="00F3122E"/>
    <w:rsid w:val="00F331AD"/>
    <w:rsid w:val="00F35287"/>
    <w:rsid w:val="00F43A37"/>
    <w:rsid w:val="00F4641B"/>
    <w:rsid w:val="00F46EB8"/>
    <w:rsid w:val="00F50CD1"/>
    <w:rsid w:val="00F511E4"/>
    <w:rsid w:val="00F52D09"/>
    <w:rsid w:val="00F52E08"/>
    <w:rsid w:val="00F55B21"/>
    <w:rsid w:val="00F56EF6"/>
    <w:rsid w:val="00F61A9F"/>
    <w:rsid w:val="00F64696"/>
    <w:rsid w:val="00F65AA9"/>
    <w:rsid w:val="00F6768F"/>
    <w:rsid w:val="00F67E33"/>
    <w:rsid w:val="00F72C2C"/>
    <w:rsid w:val="00F76CAB"/>
    <w:rsid w:val="00F772C6"/>
    <w:rsid w:val="00F815B5"/>
    <w:rsid w:val="00F85195"/>
    <w:rsid w:val="00F938BA"/>
    <w:rsid w:val="00FA2C46"/>
    <w:rsid w:val="00FA3525"/>
    <w:rsid w:val="00FA5A53"/>
    <w:rsid w:val="00FB4769"/>
    <w:rsid w:val="00FB4CDA"/>
    <w:rsid w:val="00FC0F81"/>
    <w:rsid w:val="00FC395C"/>
    <w:rsid w:val="00FD3766"/>
    <w:rsid w:val="00FD47C4"/>
    <w:rsid w:val="00FE2DCF"/>
    <w:rsid w:val="00FE3FA7"/>
    <w:rsid w:val="00FF2FCE"/>
    <w:rsid w:val="00FF4F7D"/>
    <w:rsid w:val="00FF6D9D"/>
    <w:rsid w:val="54D6000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o:shapelayout v:ext="edit">
      <o:idmap v:ext="edit" data="1"/>
    </o:shapelayout>
  </w:shapeDefaults>
  <w:decimalSymbol w:val="."/>
  <w:listSeparator w:val=","/>
  <w14:docId w14:val="52C0E56C"/>
  <w15:docId w15:val="{10DE396E-169A-47BE-8367-264E01B6C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uiPriority w:val="11"/>
    <w:rsid w:val="000154FD"/>
    <w:rPr>
      <w:rFonts w:ascii="Cambria" w:hAnsi="Cambria"/>
      <w:lang w:eastAsia="en-US"/>
    </w:rPr>
  </w:style>
  <w:style w:type="paragraph" w:styleId="Heading1">
    <w:name w:val="heading 1"/>
    <w:next w:val="DHHSbody"/>
    <w:link w:val="Heading1Char"/>
    <w:uiPriority w:val="1"/>
    <w:qFormat/>
    <w:rsid w:val="001D1931"/>
    <w:pPr>
      <w:keepNext/>
      <w:keepLines/>
      <w:spacing w:before="320" w:after="200" w:line="440" w:lineRule="atLeast"/>
      <w:outlineLvl w:val="0"/>
    </w:pPr>
    <w:rPr>
      <w:rFonts w:ascii="Arial" w:eastAsia="MS Gothic" w:hAnsi="Arial" w:cs="Arial"/>
      <w:bCs/>
      <w:color w:val="C2174F" w:themeColor="text2"/>
      <w:kern w:val="32"/>
      <w:sz w:val="36"/>
      <w:szCs w:val="40"/>
      <w:lang w:eastAsia="en-US"/>
    </w:rPr>
  </w:style>
  <w:style w:type="paragraph" w:styleId="Heading2">
    <w:name w:val="heading 2"/>
    <w:next w:val="DHHSbody"/>
    <w:link w:val="Heading2Char"/>
    <w:uiPriority w:val="1"/>
    <w:qFormat/>
    <w:rsid w:val="00B95F4C"/>
    <w:pPr>
      <w:keepNext/>
      <w:keepLines/>
      <w:spacing w:before="240" w:after="90" w:line="320" w:lineRule="atLeast"/>
      <w:outlineLvl w:val="1"/>
    </w:pPr>
    <w:rPr>
      <w:rFonts w:ascii="Arial" w:hAnsi="Arial"/>
      <w:b/>
      <w:color w:val="000000" w:themeColor="text1"/>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1D1931"/>
    <w:rPr>
      <w:rFonts w:ascii="Arial" w:eastAsia="MS Gothic" w:hAnsi="Arial" w:cs="Arial"/>
      <w:bCs/>
      <w:color w:val="C2174F" w:themeColor="text2"/>
      <w:kern w:val="32"/>
      <w:sz w:val="36"/>
      <w:szCs w:val="40"/>
      <w:lang w:eastAsia="en-US"/>
    </w:rPr>
  </w:style>
  <w:style w:type="character" w:customStyle="1" w:styleId="Heading2Char">
    <w:name w:val="Heading 2 Char"/>
    <w:link w:val="Heading2"/>
    <w:uiPriority w:val="1"/>
    <w:rsid w:val="00B95F4C"/>
    <w:rPr>
      <w:rFonts w:ascii="Arial" w:hAnsi="Arial"/>
      <w:b/>
      <w:color w:val="000000" w:themeColor="text1"/>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D1415F"/>
    <w:tblPr>
      <w:tblInd w:w="108" w:type="dxa"/>
      <w:tblBorders>
        <w:top w:val="single" w:sz="4" w:space="0" w:color="C2174F" w:themeColor="accent1"/>
        <w:left w:val="single" w:sz="4" w:space="0" w:color="C2174F" w:themeColor="accent1"/>
        <w:bottom w:val="single" w:sz="4" w:space="0" w:color="C2174F" w:themeColor="accent1"/>
        <w:right w:val="single" w:sz="4" w:space="0" w:color="C2174F" w:themeColor="accent1"/>
        <w:insideH w:val="single" w:sz="4" w:space="0" w:color="C2174F" w:themeColor="accent1"/>
        <w:insideV w:val="single" w:sz="4" w:space="0" w:color="C2174F" w:themeColor="accent1"/>
      </w:tblBorders>
    </w:tblPr>
    <w:tblStylePr w:type="firstRow">
      <w:tblPr/>
      <w:tcPr>
        <w:shd w:val="clear" w:color="auto" w:fill="C2174F"/>
      </w:tcPr>
    </w:tblStyle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1D1931"/>
    <w:pPr>
      <w:spacing w:before="0" w:after="200"/>
      <w:outlineLvl w:val="9"/>
    </w:pPr>
  </w:style>
  <w:style w:type="character" w:customStyle="1" w:styleId="DHHSTOCheadingfactsheetChar">
    <w:name w:val="DHHS TOC heading fact sheet Char"/>
    <w:link w:val="DHHSTOCheadingfactsheet"/>
    <w:uiPriority w:val="4"/>
    <w:rsid w:val="001D1931"/>
    <w:rPr>
      <w:rFonts w:ascii="Arial" w:hAnsi="Arial"/>
      <w:b/>
      <w:color w:val="C2174F" w:themeColor="text2"/>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EE74E5"/>
    <w:pPr>
      <w:spacing w:line="216" w:lineRule="auto"/>
    </w:pPr>
    <w:rPr>
      <w:rFonts w:ascii="Arial" w:hAnsi="Arial"/>
      <w:caps/>
      <w:color w:val="FFFFFF"/>
      <w:sz w:val="64"/>
      <w:szCs w:val="64"/>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8E7B49"/>
    <w:pPr>
      <w:numPr>
        <w:ilvl w:val="1"/>
        <w:numId w:val="7"/>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1">
    <w:name w:val="DHHS table bullet 1"/>
    <w:basedOn w:val="DHHS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DHHStablecolhead">
    <w:name w:val="DHHS table col head"/>
    <w:uiPriority w:val="3"/>
    <w:qFormat/>
    <w:rsid w:val="00041A51"/>
    <w:pPr>
      <w:spacing w:before="80" w:after="60"/>
    </w:pPr>
    <w:rPr>
      <w:rFonts w:ascii="Arial" w:hAnsi="Arial"/>
      <w:b/>
      <w:color w:val="FFFFFF"/>
      <w:lang w:eastAsia="en-US"/>
    </w:rPr>
  </w:style>
  <w:style w:type="paragraph" w:customStyle="1" w:styleId="DHHSbulletafternumbers1">
    <w:name w:val="DHHS bullet after numbers 1"/>
    <w:basedOn w:val="DHHSbody"/>
    <w:uiPriority w:val="4"/>
    <w:rsid w:val="008E7B49"/>
    <w:pPr>
      <w:numPr>
        <w:ilvl w:val="2"/>
        <w:numId w:val="3"/>
      </w:numPr>
    </w:pPr>
  </w:style>
  <w:style w:type="character" w:styleId="Hyperlink">
    <w:name w:val="Hyperlink"/>
    <w:uiPriority w:val="99"/>
    <w:rsid w:val="002C4079"/>
    <w:rPr>
      <w:color w:val="0074BC"/>
      <w:u w:val="dotted"/>
    </w:rPr>
  </w:style>
  <w:style w:type="paragraph" w:customStyle="1" w:styleId="DHHSmainsubheading">
    <w:name w:val="DHHS main subheading"/>
    <w:uiPriority w:val="8"/>
    <w:rsid w:val="00EE74E5"/>
    <w:rPr>
      <w:rFonts w:ascii="Arial" w:hAnsi="Arial"/>
      <w:b/>
      <w:color w:val="FFFFFF"/>
      <w:sz w:val="28"/>
      <w:szCs w:val="28"/>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8E7B49"/>
    <w:pPr>
      <w:numPr>
        <w:numId w:val="2"/>
      </w:numPr>
    </w:pPr>
  </w:style>
  <w:style w:type="numbering" w:customStyle="1" w:styleId="ZZQuotebullets">
    <w:name w:val="ZZ Quote bullets"/>
    <w:basedOn w:val="ZZNumbersdigit"/>
    <w:rsid w:val="008E7B49"/>
    <w:pPr>
      <w:numPr>
        <w:numId w:val="11"/>
      </w:numPr>
    </w:pPr>
  </w:style>
  <w:style w:type="paragraph" w:customStyle="1" w:styleId="DHHSnumberdigit">
    <w:name w:val="DHHS number digit"/>
    <w:basedOn w:val="DHHSbody"/>
    <w:uiPriority w:val="2"/>
    <w:rsid w:val="00857C5A"/>
    <w:pPr>
      <w:numPr>
        <w:numId w:val="8"/>
      </w:numPr>
    </w:pPr>
  </w:style>
  <w:style w:type="paragraph" w:customStyle="1" w:styleId="DHHSnumberloweralphaindent">
    <w:name w:val="DHHS number lower alpha indent"/>
    <w:basedOn w:val="DHHSbody"/>
    <w:uiPriority w:val="3"/>
    <w:rsid w:val="00721CFB"/>
    <w:pPr>
      <w:numPr>
        <w:ilvl w:val="1"/>
        <w:numId w:val="22"/>
      </w:numPr>
    </w:pPr>
  </w:style>
  <w:style w:type="paragraph" w:customStyle="1" w:styleId="DHHSnumberdigitindent">
    <w:name w:val="DHHS number digit indent"/>
    <w:basedOn w:val="DHHSnumberloweralphaindent"/>
    <w:uiPriority w:val="3"/>
    <w:rsid w:val="008E7B49"/>
    <w:pPr>
      <w:numPr>
        <w:numId w:val="3"/>
      </w:numPr>
    </w:pPr>
  </w:style>
  <w:style w:type="paragraph" w:customStyle="1" w:styleId="DHHSnumberloweralpha">
    <w:name w:val="DHHS number lower alpha"/>
    <w:basedOn w:val="DHHSbody"/>
    <w:uiPriority w:val="3"/>
    <w:rsid w:val="00721CFB"/>
    <w:pPr>
      <w:numPr>
        <w:numId w:val="22"/>
      </w:numPr>
    </w:pPr>
  </w:style>
  <w:style w:type="paragraph" w:customStyle="1" w:styleId="DHHSnumberlowerroman">
    <w:name w:val="DHHS number lower roman"/>
    <w:basedOn w:val="DHHSbody"/>
    <w:uiPriority w:val="3"/>
    <w:rsid w:val="00721CFB"/>
    <w:pPr>
      <w:numPr>
        <w:numId w:val="13"/>
      </w:numPr>
    </w:pPr>
  </w:style>
  <w:style w:type="paragraph" w:customStyle="1" w:styleId="DHHSnumberlowerromanindent">
    <w:name w:val="DHHS number lower roman indent"/>
    <w:basedOn w:val="DHHSbody"/>
    <w:uiPriority w:val="3"/>
    <w:rsid w:val="00721CFB"/>
    <w:pPr>
      <w:numPr>
        <w:ilvl w:val="1"/>
        <w:numId w:val="1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customStyle="1" w:styleId="DHHSbulletafternumbers2">
    <w:name w:val="DHHS bullet after numbers 2"/>
    <w:basedOn w:val="DHHSbody"/>
    <w:rsid w:val="008E7B49"/>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DHHSquotebullet1">
    <w:name w:val="DHHS quote bullet 1"/>
    <w:basedOn w:val="DHHSquote"/>
    <w:rsid w:val="008E7B49"/>
    <w:pPr>
      <w:numPr>
        <w:numId w:val="11"/>
      </w:numPr>
    </w:pPr>
  </w:style>
  <w:style w:type="paragraph" w:customStyle="1" w:styleId="DHHSquotebullet2">
    <w:name w:val="DHHS quote bullet 2"/>
    <w:basedOn w:val="DHHSquote"/>
    <w:rsid w:val="008E7B49"/>
    <w:pPr>
      <w:numPr>
        <w:ilvl w:val="1"/>
        <w:numId w:val="11"/>
      </w:numPr>
    </w:pPr>
  </w:style>
  <w:style w:type="paragraph" w:styleId="BalloonText">
    <w:name w:val="Balloon Text"/>
    <w:basedOn w:val="Normal"/>
    <w:link w:val="BalloonTextChar"/>
    <w:uiPriority w:val="99"/>
    <w:semiHidden/>
    <w:unhideWhenUsed/>
    <w:rsid w:val="00F07B46"/>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07B46"/>
    <w:rPr>
      <w:sz w:val="18"/>
      <w:szCs w:val="18"/>
      <w:lang w:eastAsia="en-US"/>
    </w:rPr>
  </w:style>
  <w:style w:type="paragraph" w:customStyle="1" w:styleId="Style1">
    <w:name w:val="Style1"/>
    <w:basedOn w:val="DHHSbody"/>
    <w:uiPriority w:val="11"/>
    <w:rsid w:val="003D6D96"/>
    <w:rPr>
      <w:sz w:val="24"/>
    </w:rPr>
  </w:style>
  <w:style w:type="paragraph" w:customStyle="1" w:styleId="BodyA">
    <w:name w:val="Body A"/>
    <w:rsid w:val="003D6D96"/>
    <w:pPr>
      <w:spacing w:after="120"/>
    </w:pPr>
    <w:rPr>
      <w:rFonts w:ascii="Calibri" w:eastAsia="Calibri" w:hAnsi="Calibri" w:cs="Calibri"/>
      <w:color w:val="000000"/>
      <w:sz w:val="28"/>
      <w:szCs w:val="2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mailto:enquiries@homes.vic.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vic.gov.au/regional-investmen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HV 1">
      <a:dk1>
        <a:srgbClr val="000000"/>
      </a:dk1>
      <a:lt1>
        <a:srgbClr val="FFFFFF"/>
      </a:lt1>
      <a:dk2>
        <a:srgbClr val="C2174F"/>
      </a:dk2>
      <a:lt2>
        <a:srgbClr val="FFFFFF"/>
      </a:lt2>
      <a:accent1>
        <a:srgbClr val="C2174F"/>
      </a:accent1>
      <a:accent2>
        <a:srgbClr val="5BCBF5"/>
      </a:accent2>
      <a:accent3>
        <a:srgbClr val="414042"/>
      </a:accent3>
      <a:accent4>
        <a:srgbClr val="2CB77E"/>
      </a:accent4>
      <a:accent5>
        <a:srgbClr val="ECB12F"/>
      </a:accent5>
      <a:accent6>
        <a:srgbClr val="E01F59"/>
      </a:accent6>
      <a:hlink>
        <a:srgbClr val="0074BC"/>
      </a:hlink>
      <a:folHlink>
        <a:srgbClr val="87189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1" ma:contentTypeDescription="Create a new document." ma:contentTypeScope="" ma:versionID="a9f80053be79aa1ab9914ed853f48066">
  <xsd:schema xmlns:xsd="http://www.w3.org/2001/XMLSchema" xmlns:xs="http://www.w3.org/2001/XMLSchema" xmlns:p="http://schemas.microsoft.com/office/2006/metadata/properties" xmlns:ns2="31b2e4f9-c376-4e2f-bd2e-796d1bcd5746" xmlns:ns3="7ee2ad8a-2b33-419f-875c-ac0e4cfc6b7f" targetNamespace="http://schemas.microsoft.com/office/2006/metadata/properties" ma:root="true" ma:fieldsID="4c097f2dfcd99582bbe2294d9536f88a" ns2:_="" ns3:_="">
    <xsd:import namespace="31b2e4f9-c376-4e2f-bd2e-796d1bcd5746"/>
    <xsd:import namespace="7ee2ad8a-2b33-419f-875c-ac0e4cfc6b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A74B3-4CB3-499F-A11F-14CF5865D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5D5371-2427-4C7A-BCB6-7A1E577D24D0}">
  <ds:schemaRefs>
    <ds:schemaRef ds:uri="http://schemas.microsoft.com/office/infopath/2007/PartnerControls"/>
    <ds:schemaRef ds:uri="http://purl.org/dc/elements/1.1/"/>
    <ds:schemaRef ds:uri="http://schemas.microsoft.com/office/2006/metadata/properties"/>
    <ds:schemaRef ds:uri="http://purl.org/dc/terms/"/>
    <ds:schemaRef ds:uri="31b2e4f9-c376-4e2f-bd2e-796d1bcd5746"/>
    <ds:schemaRef ds:uri="http://schemas.openxmlformats.org/package/2006/metadata/core-properties"/>
    <ds:schemaRef ds:uri="http://schemas.microsoft.com/office/2006/documentManagement/types"/>
    <ds:schemaRef ds:uri="7ee2ad8a-2b33-419f-875c-ac0e4cfc6b7f"/>
    <ds:schemaRef ds:uri="http://www.w3.org/XML/1998/namespace"/>
    <ds:schemaRef ds:uri="http://purl.org/dc/dcmitype/"/>
  </ds:schemaRefs>
</ds:datastoreItem>
</file>

<file path=customXml/itemProps3.xml><?xml version="1.0" encoding="utf-8"?>
<ds:datastoreItem xmlns:ds="http://schemas.openxmlformats.org/officeDocument/2006/customXml" ds:itemID="{C4FE1E4B-7288-46C4-A596-9ED85C3067C9}">
  <ds:schemaRefs>
    <ds:schemaRef ds:uri="http://schemas.microsoft.com/sharepoint/v3/contenttype/forms"/>
  </ds:schemaRefs>
</ds:datastoreItem>
</file>

<file path=customXml/itemProps4.xml><?xml version="1.0" encoding="utf-8"?>
<ds:datastoreItem xmlns:ds="http://schemas.openxmlformats.org/officeDocument/2006/customXml" ds:itemID="{125173F3-D304-4D3C-9EB9-93C1509E844C}">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1</TotalTime>
  <Pages>2</Pages>
  <Words>323</Words>
  <Characters>2276</Characters>
  <Application>Microsoft Office Word</Application>
  <DocSecurity>8</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Victorian Health and Human Services Building Authority</Company>
  <LinksUpToDate>false</LinksUpToDate>
  <CharactersWithSpaces>2594</CharactersWithSpaces>
  <SharedDoc>false</SharedDoc>
  <HyperlinkBase/>
  <HLinks>
    <vt:vector size="6" baseType="variant">
      <vt:variant>
        <vt:i4>1441828</vt:i4>
      </vt:variant>
      <vt:variant>
        <vt:i4>0</vt:i4>
      </vt:variant>
      <vt:variant>
        <vt:i4>0</vt:i4>
      </vt:variant>
      <vt:variant>
        <vt:i4>5</vt:i4>
      </vt:variant>
      <vt:variant>
        <vt:lpwstr>mailto:enquiries@homes.vic.gov.au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Narelle Sullivan</dc:creator>
  <cp:keywords/>
  <cp:lastModifiedBy>Mayke Deuss (Homes Victoria)</cp:lastModifiedBy>
  <cp:revision>3</cp:revision>
  <cp:lastPrinted>2017-07-07T17:32:00Z</cp:lastPrinted>
  <dcterms:created xsi:type="dcterms:W3CDTF">2020-11-16T22:09:00Z</dcterms:created>
  <dcterms:modified xsi:type="dcterms:W3CDTF">2020-11-16T22:09:00Z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0x01010026D179483B3A4E458E2DA955233B6DD4</vt:lpwstr>
  </property>
  <property fmtid="{D5CDD505-2E9C-101B-9397-08002B2CF9AE}" pid="4" name="MSIP_Label_efdf5488-3066-4b6c-8fea-9472b8a1f34c_Enabled">
    <vt:lpwstr>true</vt:lpwstr>
  </property>
  <property fmtid="{D5CDD505-2E9C-101B-9397-08002B2CF9AE}" pid="5" name="MSIP_Label_efdf5488-3066-4b6c-8fea-9472b8a1f34c_SetDate">
    <vt:lpwstr>2020-11-13T04:58:58Z</vt:lpwstr>
  </property>
  <property fmtid="{D5CDD505-2E9C-101B-9397-08002B2CF9AE}" pid="6" name="MSIP_Label_efdf5488-3066-4b6c-8fea-9472b8a1f34c_Method">
    <vt:lpwstr>Privileged</vt:lpwstr>
  </property>
  <property fmtid="{D5CDD505-2E9C-101B-9397-08002B2CF9AE}" pid="7" name="MSIP_Label_efdf5488-3066-4b6c-8fea-9472b8a1f34c_Name">
    <vt:lpwstr>efdf5488-3066-4b6c-8fea-9472b8a1f34c</vt:lpwstr>
  </property>
  <property fmtid="{D5CDD505-2E9C-101B-9397-08002B2CF9AE}" pid="8" name="MSIP_Label_efdf5488-3066-4b6c-8fea-9472b8a1f34c_SiteId">
    <vt:lpwstr>c0e0601f-0fac-449c-9c88-a104c4eb9f28</vt:lpwstr>
  </property>
  <property fmtid="{D5CDD505-2E9C-101B-9397-08002B2CF9AE}" pid="9" name="MSIP_Label_efdf5488-3066-4b6c-8fea-9472b8a1f34c_ActionId">
    <vt:lpwstr>52186a80-68be-4c5b-a5ac-5352526236a8</vt:lpwstr>
  </property>
  <property fmtid="{D5CDD505-2E9C-101B-9397-08002B2CF9AE}" pid="10" name="MSIP_Label_efdf5488-3066-4b6c-8fea-9472b8a1f34c_ContentBits">
    <vt:lpwstr>0</vt:lpwstr>
  </property>
</Properties>
</file>